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87" w:rsidRPr="003E6187" w:rsidRDefault="003E6187">
      <w:pPr>
        <w:rPr>
          <w:color w:val="4F81BD" w:themeColor="accent1"/>
        </w:rPr>
      </w:pPr>
      <w:r w:rsidRPr="003E6187">
        <w:rPr>
          <w:rFonts w:ascii="Verdana" w:eastAsia="Times New Roman" w:hAnsi="Verdana" w:cs="Arial"/>
          <w:b/>
          <w:bCs/>
          <w:color w:val="4F81BD" w:themeColor="accent1"/>
          <w:sz w:val="18"/>
        </w:rPr>
        <w:t>PAYMENT FOR SUGARCANE</w:t>
      </w:r>
    </w:p>
    <w:p w:rsidR="003E6187" w:rsidRDefault="003E6187"/>
    <w:tbl>
      <w:tblPr>
        <w:tblW w:w="5000" w:type="pct"/>
        <w:jc w:val="center"/>
        <w:tblCellSpacing w:w="15" w:type="dxa"/>
        <w:tblCellMar>
          <w:top w:w="15" w:type="dxa"/>
          <w:left w:w="15" w:type="dxa"/>
          <w:bottom w:w="15" w:type="dxa"/>
          <w:right w:w="15" w:type="dxa"/>
        </w:tblCellMar>
        <w:tblLook w:val="04A0"/>
      </w:tblPr>
      <w:tblGrid>
        <w:gridCol w:w="9450"/>
      </w:tblGrid>
      <w:tr w:rsidR="003E6187" w:rsidRPr="003C17D3" w:rsidTr="00EF0943">
        <w:trPr>
          <w:trHeight w:val="270"/>
          <w:tblCellSpacing w:w="15" w:type="dxa"/>
          <w:jc w:val="center"/>
        </w:trPr>
        <w:tc>
          <w:tcPr>
            <w:tcW w:w="0" w:type="auto"/>
            <w:vAlign w:val="center"/>
            <w:hideMark/>
          </w:tcPr>
          <w:p w:rsidR="003E6187" w:rsidRPr="003C17D3" w:rsidRDefault="003E6187" w:rsidP="00EF0943">
            <w:pPr>
              <w:spacing w:after="0" w:line="240" w:lineRule="auto"/>
              <w:jc w:val="center"/>
              <w:rPr>
                <w:rFonts w:ascii="Verdana" w:eastAsia="Times New Roman" w:hAnsi="Verdana" w:cs="Arial"/>
                <w:b/>
                <w:bCs/>
                <w:sz w:val="18"/>
                <w:szCs w:val="18"/>
              </w:rPr>
            </w:pPr>
            <w:r w:rsidRPr="003C17D3">
              <w:rPr>
                <w:rFonts w:ascii="Verdana" w:eastAsia="Times New Roman" w:hAnsi="Verdana" w:cs="Arial"/>
                <w:b/>
                <w:bCs/>
                <w:sz w:val="18"/>
                <w:szCs w:val="18"/>
              </w:rPr>
              <w:t>GOVERNMENT OF INDIA</w:t>
            </w:r>
          </w:p>
        </w:tc>
      </w:tr>
    </w:tbl>
    <w:p w:rsidR="003E6187" w:rsidRPr="003C17D3" w:rsidRDefault="003E6187" w:rsidP="003E6187">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3990"/>
        <w:gridCol w:w="4043"/>
      </w:tblGrid>
      <w:tr w:rsidR="003E6187" w:rsidRPr="003C17D3" w:rsidTr="00EF0943">
        <w:trPr>
          <w:trHeight w:val="255"/>
          <w:tblCellSpacing w:w="15" w:type="dxa"/>
          <w:jc w:val="center"/>
        </w:trPr>
        <w:tc>
          <w:tcPr>
            <w:tcW w:w="3945" w:type="dxa"/>
            <w:vAlign w:val="center"/>
            <w:hideMark/>
          </w:tcPr>
          <w:p w:rsidR="003E6187" w:rsidRPr="003C17D3" w:rsidRDefault="003E6187" w:rsidP="00EF0943">
            <w:pPr>
              <w:spacing w:after="0" w:line="240" w:lineRule="auto"/>
              <w:jc w:val="right"/>
              <w:rPr>
                <w:rFonts w:ascii="Verdana" w:eastAsia="Times New Roman" w:hAnsi="Verdana" w:cs="Arial"/>
                <w:b/>
                <w:bCs/>
                <w:sz w:val="18"/>
                <w:szCs w:val="18"/>
              </w:rPr>
            </w:pPr>
            <w:r w:rsidRPr="003C17D3">
              <w:rPr>
                <w:rFonts w:ascii="Verdana" w:eastAsia="Times New Roman" w:hAnsi="Verdana" w:cs="Arial"/>
                <w:b/>
                <w:bCs/>
                <w:sz w:val="18"/>
                <w:szCs w:val="18"/>
              </w:rPr>
              <w:t xml:space="preserve">MINISTRY OF  </w:t>
            </w:r>
          </w:p>
        </w:tc>
        <w:tc>
          <w:tcPr>
            <w:tcW w:w="0" w:type="auto"/>
            <w:vAlign w:val="center"/>
            <w:hideMark/>
          </w:tcPr>
          <w:p w:rsidR="003E6187" w:rsidRPr="003C17D3" w:rsidRDefault="003E6187" w:rsidP="00EF0943">
            <w:pPr>
              <w:spacing w:after="0" w:line="240" w:lineRule="auto"/>
              <w:rPr>
                <w:rFonts w:ascii="Arial" w:eastAsia="Times New Roman" w:hAnsi="Arial" w:cs="Arial"/>
                <w:sz w:val="18"/>
                <w:szCs w:val="18"/>
              </w:rPr>
            </w:pPr>
            <w:r w:rsidRPr="003C17D3">
              <w:rPr>
                <w:rFonts w:ascii="Verdana" w:eastAsia="Times New Roman" w:hAnsi="Verdana" w:cs="Arial"/>
                <w:b/>
                <w:bCs/>
                <w:sz w:val="18"/>
              </w:rPr>
              <w:t>CONSUMER AFFAIRS, FOOD AND PUBLIC DISTRIBUTION</w:t>
            </w:r>
          </w:p>
        </w:tc>
      </w:tr>
    </w:tbl>
    <w:p w:rsidR="003E6187" w:rsidRPr="003C17D3" w:rsidRDefault="003E6187" w:rsidP="003E6187">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8033"/>
      </w:tblGrid>
      <w:tr w:rsidR="003E6187" w:rsidRPr="003C17D3" w:rsidTr="00EF0943">
        <w:trPr>
          <w:trHeight w:val="270"/>
          <w:tblCellSpacing w:w="15" w:type="dxa"/>
          <w:jc w:val="center"/>
        </w:trPr>
        <w:tc>
          <w:tcPr>
            <w:tcW w:w="0" w:type="auto"/>
            <w:vAlign w:val="center"/>
            <w:hideMark/>
          </w:tcPr>
          <w:p w:rsidR="003E6187" w:rsidRPr="003C17D3" w:rsidRDefault="003E6187" w:rsidP="00EF0943">
            <w:pPr>
              <w:spacing w:after="0" w:line="240" w:lineRule="auto"/>
              <w:jc w:val="center"/>
              <w:rPr>
                <w:rFonts w:ascii="Verdana" w:eastAsia="Times New Roman" w:hAnsi="Verdana" w:cs="Arial"/>
                <w:b/>
                <w:bCs/>
                <w:sz w:val="18"/>
                <w:szCs w:val="18"/>
              </w:rPr>
            </w:pPr>
            <w:r w:rsidRPr="003C17D3">
              <w:rPr>
                <w:rFonts w:ascii="Verdana" w:eastAsia="Times New Roman" w:hAnsi="Verdana" w:cs="Arial"/>
                <w:b/>
                <w:bCs/>
                <w:sz w:val="18"/>
                <w:szCs w:val="18"/>
              </w:rPr>
              <w:t>LOK SABHA</w:t>
            </w:r>
          </w:p>
        </w:tc>
      </w:tr>
    </w:tbl>
    <w:p w:rsidR="003E6187" w:rsidRPr="003C17D3" w:rsidRDefault="003E6187" w:rsidP="003E6187">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4140"/>
        <w:gridCol w:w="1755"/>
        <w:gridCol w:w="2138"/>
      </w:tblGrid>
      <w:tr w:rsidR="003E6187" w:rsidRPr="003C17D3" w:rsidTr="00EF0943">
        <w:trPr>
          <w:trHeight w:val="270"/>
          <w:tblCellSpacing w:w="15" w:type="dxa"/>
          <w:jc w:val="center"/>
        </w:trPr>
        <w:tc>
          <w:tcPr>
            <w:tcW w:w="4095" w:type="dxa"/>
            <w:vAlign w:val="center"/>
            <w:hideMark/>
          </w:tcPr>
          <w:p w:rsidR="003E6187" w:rsidRPr="003C17D3" w:rsidRDefault="003E6187" w:rsidP="00EF0943">
            <w:pPr>
              <w:spacing w:after="0" w:line="240" w:lineRule="auto"/>
              <w:jc w:val="right"/>
              <w:rPr>
                <w:rFonts w:ascii="Arial" w:eastAsia="Times New Roman" w:hAnsi="Arial" w:cs="Arial"/>
                <w:sz w:val="18"/>
                <w:szCs w:val="18"/>
              </w:rPr>
            </w:pPr>
            <w:r w:rsidRPr="003C17D3">
              <w:rPr>
                <w:rFonts w:ascii="Verdana" w:eastAsia="Times New Roman" w:hAnsi="Verdana" w:cs="Arial"/>
                <w:b/>
                <w:bCs/>
                <w:sz w:val="18"/>
              </w:rPr>
              <w:t xml:space="preserve">UNSTARRED </w:t>
            </w:r>
          </w:p>
        </w:tc>
        <w:tc>
          <w:tcPr>
            <w:tcW w:w="1725" w:type="dxa"/>
            <w:vAlign w:val="center"/>
            <w:hideMark/>
          </w:tcPr>
          <w:p w:rsidR="003E6187" w:rsidRPr="003C17D3" w:rsidRDefault="003E6187" w:rsidP="00EF0943">
            <w:pPr>
              <w:spacing w:after="0" w:line="240" w:lineRule="auto"/>
              <w:rPr>
                <w:rFonts w:ascii="Verdana" w:eastAsia="Times New Roman" w:hAnsi="Verdana" w:cs="Arial"/>
                <w:b/>
                <w:bCs/>
                <w:sz w:val="18"/>
                <w:szCs w:val="18"/>
              </w:rPr>
            </w:pPr>
            <w:r w:rsidRPr="003C17D3">
              <w:rPr>
                <w:rFonts w:ascii="Verdana" w:eastAsia="Times New Roman" w:hAnsi="Verdana" w:cs="Arial"/>
                <w:b/>
                <w:bCs/>
                <w:sz w:val="18"/>
                <w:szCs w:val="18"/>
              </w:rPr>
              <w:t>QUESTION NO</w:t>
            </w:r>
          </w:p>
        </w:tc>
        <w:tc>
          <w:tcPr>
            <w:tcW w:w="0" w:type="auto"/>
            <w:vAlign w:val="center"/>
            <w:hideMark/>
          </w:tcPr>
          <w:p w:rsidR="003E6187" w:rsidRPr="003C17D3" w:rsidRDefault="003E6187" w:rsidP="00EF0943">
            <w:pPr>
              <w:spacing w:after="0" w:line="240" w:lineRule="auto"/>
              <w:rPr>
                <w:rFonts w:ascii="Arial" w:eastAsia="Times New Roman" w:hAnsi="Arial" w:cs="Arial"/>
                <w:sz w:val="18"/>
                <w:szCs w:val="18"/>
              </w:rPr>
            </w:pPr>
            <w:r w:rsidRPr="003C17D3">
              <w:rPr>
                <w:rFonts w:ascii="Verdana" w:eastAsia="Times New Roman" w:hAnsi="Verdana" w:cs="Arial"/>
                <w:b/>
                <w:bCs/>
                <w:sz w:val="18"/>
              </w:rPr>
              <w:t>1438</w:t>
            </w:r>
          </w:p>
        </w:tc>
      </w:tr>
    </w:tbl>
    <w:p w:rsidR="003E6187" w:rsidRPr="003C17D3" w:rsidRDefault="003E6187" w:rsidP="003E6187">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4155"/>
        <w:gridCol w:w="3878"/>
      </w:tblGrid>
      <w:tr w:rsidR="003E6187" w:rsidRPr="003C17D3" w:rsidTr="00EF0943">
        <w:trPr>
          <w:trHeight w:val="270"/>
          <w:tblCellSpacing w:w="15" w:type="dxa"/>
          <w:jc w:val="center"/>
        </w:trPr>
        <w:tc>
          <w:tcPr>
            <w:tcW w:w="4110" w:type="dxa"/>
            <w:vAlign w:val="center"/>
            <w:hideMark/>
          </w:tcPr>
          <w:p w:rsidR="003E6187" w:rsidRPr="003C17D3" w:rsidRDefault="003E6187" w:rsidP="00EF0943">
            <w:pPr>
              <w:spacing w:after="0" w:line="240" w:lineRule="auto"/>
              <w:jc w:val="right"/>
              <w:rPr>
                <w:rFonts w:ascii="Verdana" w:eastAsia="Times New Roman" w:hAnsi="Verdana" w:cs="Arial"/>
                <w:b/>
                <w:bCs/>
                <w:sz w:val="18"/>
                <w:szCs w:val="18"/>
              </w:rPr>
            </w:pPr>
            <w:r w:rsidRPr="003C17D3">
              <w:rPr>
                <w:rFonts w:ascii="Verdana" w:eastAsia="Times New Roman" w:hAnsi="Verdana" w:cs="Arial"/>
                <w:b/>
                <w:bCs/>
                <w:sz w:val="18"/>
                <w:szCs w:val="18"/>
              </w:rPr>
              <w:t xml:space="preserve">ANSWERED ON   </w:t>
            </w:r>
          </w:p>
        </w:tc>
        <w:tc>
          <w:tcPr>
            <w:tcW w:w="0" w:type="auto"/>
            <w:vAlign w:val="center"/>
            <w:hideMark/>
          </w:tcPr>
          <w:p w:rsidR="003E6187" w:rsidRPr="003C17D3" w:rsidRDefault="003E6187" w:rsidP="00EF0943">
            <w:pPr>
              <w:spacing w:after="0" w:line="240" w:lineRule="auto"/>
              <w:rPr>
                <w:rFonts w:ascii="Arial" w:eastAsia="Times New Roman" w:hAnsi="Arial" w:cs="Arial"/>
                <w:sz w:val="18"/>
                <w:szCs w:val="18"/>
              </w:rPr>
            </w:pPr>
            <w:r w:rsidRPr="003C17D3">
              <w:rPr>
                <w:rFonts w:ascii="Verdana" w:eastAsia="Times New Roman" w:hAnsi="Verdana" w:cs="Arial"/>
                <w:b/>
                <w:bCs/>
                <w:sz w:val="18"/>
              </w:rPr>
              <w:t>21.08.2012</w:t>
            </w:r>
          </w:p>
        </w:tc>
      </w:tr>
    </w:tbl>
    <w:p w:rsidR="003E6187" w:rsidRPr="003C17D3" w:rsidRDefault="003E6187" w:rsidP="003E6187">
      <w:pPr>
        <w:spacing w:after="0" w:line="240" w:lineRule="auto"/>
        <w:rPr>
          <w:rFonts w:ascii="Arial" w:eastAsia="Times New Roman" w:hAnsi="Arial" w:cs="Arial"/>
          <w:vanish/>
          <w:sz w:val="18"/>
          <w:szCs w:val="18"/>
        </w:rPr>
      </w:pPr>
    </w:p>
    <w:tbl>
      <w:tblPr>
        <w:tblW w:w="3500" w:type="pct"/>
        <w:jc w:val="center"/>
        <w:tblCellSpacing w:w="15" w:type="dxa"/>
        <w:tblCellMar>
          <w:top w:w="15" w:type="dxa"/>
          <w:left w:w="15" w:type="dxa"/>
          <w:bottom w:w="15" w:type="dxa"/>
          <w:right w:w="15" w:type="dxa"/>
        </w:tblCellMar>
        <w:tblLook w:val="04A0"/>
      </w:tblPr>
      <w:tblGrid>
        <w:gridCol w:w="6615"/>
      </w:tblGrid>
      <w:tr w:rsidR="003E6187" w:rsidRPr="003C17D3" w:rsidTr="00EF0943">
        <w:trPr>
          <w:trHeight w:val="270"/>
          <w:tblCellSpacing w:w="15" w:type="dxa"/>
          <w:jc w:val="center"/>
        </w:trPr>
        <w:tc>
          <w:tcPr>
            <w:tcW w:w="10665" w:type="dxa"/>
            <w:vAlign w:val="center"/>
            <w:hideMark/>
          </w:tcPr>
          <w:p w:rsidR="003E6187" w:rsidRPr="003C17D3" w:rsidRDefault="003E6187" w:rsidP="00EF0943">
            <w:pPr>
              <w:spacing w:after="0" w:line="240" w:lineRule="auto"/>
              <w:jc w:val="center"/>
              <w:rPr>
                <w:rFonts w:ascii="Arial" w:eastAsia="Times New Roman" w:hAnsi="Arial" w:cs="Arial"/>
                <w:sz w:val="18"/>
                <w:szCs w:val="18"/>
              </w:rPr>
            </w:pPr>
            <w:r w:rsidRPr="003C17D3">
              <w:rPr>
                <w:rFonts w:ascii="Verdana" w:eastAsia="Times New Roman" w:hAnsi="Verdana" w:cs="Arial"/>
                <w:b/>
                <w:bCs/>
                <w:sz w:val="18"/>
              </w:rPr>
              <w:t>PAYMENT FOR SUGARCANE</w:t>
            </w:r>
          </w:p>
        </w:tc>
      </w:tr>
    </w:tbl>
    <w:p w:rsidR="003E6187" w:rsidRPr="003C17D3" w:rsidRDefault="003E6187" w:rsidP="003E6187">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615"/>
        <w:gridCol w:w="7890"/>
      </w:tblGrid>
      <w:tr w:rsidR="003E6187" w:rsidRPr="003C17D3" w:rsidTr="00EF0943">
        <w:trPr>
          <w:trHeight w:val="270"/>
          <w:tblCellSpacing w:w="15" w:type="dxa"/>
          <w:jc w:val="center"/>
        </w:trPr>
        <w:tc>
          <w:tcPr>
            <w:tcW w:w="570" w:type="dxa"/>
            <w:vAlign w:val="center"/>
            <w:hideMark/>
          </w:tcPr>
          <w:p w:rsidR="003E6187" w:rsidRPr="003C17D3" w:rsidRDefault="003E6187" w:rsidP="00EF0943">
            <w:pPr>
              <w:spacing w:after="0" w:line="240" w:lineRule="auto"/>
              <w:rPr>
                <w:rFonts w:ascii="Arial" w:eastAsia="Times New Roman" w:hAnsi="Arial" w:cs="Arial"/>
                <w:sz w:val="18"/>
                <w:szCs w:val="18"/>
              </w:rPr>
            </w:pPr>
            <w:proofErr w:type="gramStart"/>
            <w:r w:rsidRPr="003C17D3">
              <w:rPr>
                <w:rFonts w:ascii="Verdana" w:eastAsia="Times New Roman" w:hAnsi="Verdana" w:cs="Arial"/>
                <w:b/>
                <w:bCs/>
                <w:sz w:val="18"/>
              </w:rPr>
              <w:t>1438 .</w:t>
            </w:r>
            <w:proofErr w:type="gramEnd"/>
          </w:p>
        </w:tc>
        <w:tc>
          <w:tcPr>
            <w:tcW w:w="0" w:type="auto"/>
            <w:vAlign w:val="center"/>
            <w:hideMark/>
          </w:tcPr>
          <w:p w:rsidR="003E6187" w:rsidRPr="003C17D3" w:rsidRDefault="003E6187" w:rsidP="00EF0943">
            <w:pPr>
              <w:spacing w:after="0" w:line="240" w:lineRule="auto"/>
              <w:rPr>
                <w:rFonts w:ascii="Arial" w:eastAsia="Times New Roman" w:hAnsi="Arial" w:cs="Arial"/>
                <w:sz w:val="18"/>
                <w:szCs w:val="18"/>
              </w:rPr>
            </w:pPr>
            <w:r w:rsidRPr="003C17D3">
              <w:rPr>
                <w:rFonts w:ascii="Verdana" w:eastAsia="Times New Roman" w:hAnsi="Verdana" w:cs="Arial"/>
                <w:b/>
                <w:bCs/>
                <w:sz w:val="18"/>
              </w:rPr>
              <w:t>Dr. SANJAY SINH</w:t>
            </w:r>
          </w:p>
        </w:tc>
      </w:tr>
    </w:tbl>
    <w:p w:rsidR="003E6187" w:rsidRPr="003C17D3" w:rsidRDefault="003E6187" w:rsidP="003E6187">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99"/>
        <w:gridCol w:w="8406"/>
      </w:tblGrid>
      <w:tr w:rsidR="003E6187" w:rsidRPr="003C17D3" w:rsidTr="00EF0943">
        <w:trPr>
          <w:trHeight w:val="870"/>
          <w:tblCellSpacing w:w="15" w:type="dxa"/>
          <w:jc w:val="center"/>
        </w:trPr>
        <w:tc>
          <w:tcPr>
            <w:tcW w:w="0" w:type="auto"/>
            <w:vAlign w:val="center"/>
            <w:hideMark/>
          </w:tcPr>
          <w:p w:rsidR="003E6187" w:rsidRPr="003C17D3" w:rsidRDefault="003E6187" w:rsidP="00EF0943">
            <w:pPr>
              <w:spacing w:after="0" w:line="240" w:lineRule="auto"/>
              <w:rPr>
                <w:rFonts w:ascii="Arial" w:eastAsia="Times New Roman" w:hAnsi="Arial" w:cs="Arial"/>
                <w:sz w:val="18"/>
                <w:szCs w:val="18"/>
              </w:rPr>
            </w:pPr>
          </w:p>
        </w:tc>
        <w:tc>
          <w:tcPr>
            <w:tcW w:w="0" w:type="auto"/>
            <w:vAlign w:val="center"/>
            <w:hideMark/>
          </w:tcPr>
          <w:tbl>
            <w:tblPr>
              <w:tblW w:w="5580" w:type="dxa"/>
              <w:tblCellMar>
                <w:top w:w="15" w:type="dxa"/>
                <w:left w:w="15" w:type="dxa"/>
                <w:bottom w:w="15" w:type="dxa"/>
                <w:right w:w="15" w:type="dxa"/>
              </w:tblCellMar>
              <w:tblLook w:val="04A0"/>
            </w:tblPr>
            <w:tblGrid>
              <w:gridCol w:w="5580"/>
            </w:tblGrid>
            <w:tr w:rsidR="003E6187" w:rsidRPr="003C17D3" w:rsidTr="00EF0943">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63"/>
                  </w:tblGrid>
                  <w:tr w:rsidR="003E6187" w:rsidRPr="003C17D3" w:rsidTr="00EF0943">
                    <w:trPr>
                      <w:tblCellSpacing w:w="15" w:type="dxa"/>
                    </w:trPr>
                    <w:tc>
                      <w:tcPr>
                        <w:tcW w:w="0" w:type="auto"/>
                        <w:vAlign w:val="center"/>
                        <w:hideMark/>
                      </w:tcPr>
                      <w:p w:rsidR="003E6187" w:rsidRPr="003C17D3" w:rsidRDefault="003E6187" w:rsidP="00EF0943">
                        <w:pPr>
                          <w:spacing w:after="0" w:line="240" w:lineRule="auto"/>
                          <w:rPr>
                            <w:rFonts w:ascii="Verdana" w:eastAsia="Times New Roman" w:hAnsi="Verdana" w:cs="Arial"/>
                            <w:b/>
                            <w:bCs/>
                            <w:sz w:val="15"/>
                            <w:szCs w:val="15"/>
                          </w:rPr>
                        </w:pPr>
                        <w:r w:rsidRPr="003C17D3">
                          <w:rPr>
                            <w:rFonts w:ascii="Verdana" w:eastAsia="Times New Roman" w:hAnsi="Verdana" w:cs="Arial"/>
                            <w:b/>
                            <w:bCs/>
                            <w:sz w:val="15"/>
                            <w:szCs w:val="15"/>
                          </w:rPr>
                          <w:t>JADHAV PRATAPRAO GANPATRAO</w:t>
                        </w:r>
                      </w:p>
                    </w:tc>
                  </w:tr>
                </w:tbl>
                <w:p w:rsidR="003E6187" w:rsidRPr="003C17D3" w:rsidRDefault="003E6187" w:rsidP="00EF0943">
                  <w:pPr>
                    <w:spacing w:after="0" w:line="240" w:lineRule="auto"/>
                    <w:rPr>
                      <w:rFonts w:ascii="Arial" w:eastAsia="Times New Roman" w:hAnsi="Arial" w:cs="Arial"/>
                      <w:b/>
                      <w:bCs/>
                      <w:sz w:val="18"/>
                      <w:szCs w:val="18"/>
                    </w:rPr>
                  </w:pPr>
                </w:p>
              </w:tc>
            </w:tr>
          </w:tbl>
          <w:p w:rsidR="003E6187" w:rsidRPr="003C17D3" w:rsidRDefault="003E6187" w:rsidP="00EF0943">
            <w:pPr>
              <w:spacing w:after="0" w:line="240" w:lineRule="auto"/>
              <w:rPr>
                <w:rFonts w:ascii="Arial" w:eastAsia="Times New Roman" w:hAnsi="Arial" w:cs="Arial"/>
                <w:sz w:val="18"/>
                <w:szCs w:val="18"/>
              </w:rPr>
            </w:pPr>
          </w:p>
        </w:tc>
      </w:tr>
    </w:tbl>
    <w:p w:rsidR="003E6187" w:rsidRPr="003C17D3" w:rsidRDefault="003E6187" w:rsidP="003E6187">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1965"/>
        <w:gridCol w:w="2430"/>
        <w:gridCol w:w="4110"/>
      </w:tblGrid>
      <w:tr w:rsidR="003E6187" w:rsidRPr="003C17D3" w:rsidTr="00EF0943">
        <w:trPr>
          <w:tblCellSpacing w:w="15" w:type="dxa"/>
          <w:jc w:val="center"/>
        </w:trPr>
        <w:tc>
          <w:tcPr>
            <w:tcW w:w="1920" w:type="dxa"/>
            <w:vAlign w:val="center"/>
            <w:hideMark/>
          </w:tcPr>
          <w:p w:rsidR="003E6187" w:rsidRPr="003C17D3" w:rsidRDefault="003E6187" w:rsidP="00EF0943">
            <w:pPr>
              <w:spacing w:after="0" w:line="240" w:lineRule="auto"/>
              <w:rPr>
                <w:rFonts w:ascii="Verdana" w:eastAsia="Times New Roman" w:hAnsi="Verdana" w:cs="Arial"/>
                <w:b/>
                <w:bCs/>
                <w:sz w:val="18"/>
                <w:szCs w:val="18"/>
              </w:rPr>
            </w:pPr>
            <w:r w:rsidRPr="003C17D3">
              <w:rPr>
                <w:rFonts w:ascii="Verdana" w:eastAsia="Times New Roman" w:hAnsi="Verdana" w:cs="Arial"/>
                <w:b/>
                <w:bCs/>
                <w:sz w:val="18"/>
                <w:szCs w:val="18"/>
              </w:rPr>
              <w:t>Will the Minister of</w:t>
            </w:r>
          </w:p>
        </w:tc>
        <w:tc>
          <w:tcPr>
            <w:tcW w:w="2400" w:type="dxa"/>
            <w:vAlign w:val="center"/>
            <w:hideMark/>
          </w:tcPr>
          <w:p w:rsidR="003E6187" w:rsidRPr="003C17D3" w:rsidRDefault="003E6187" w:rsidP="00EF0943">
            <w:pPr>
              <w:spacing w:after="0" w:line="240" w:lineRule="auto"/>
              <w:rPr>
                <w:rFonts w:ascii="Arial" w:eastAsia="Times New Roman" w:hAnsi="Arial" w:cs="Arial"/>
                <w:sz w:val="18"/>
                <w:szCs w:val="18"/>
              </w:rPr>
            </w:pPr>
            <w:r w:rsidRPr="003C17D3">
              <w:rPr>
                <w:rFonts w:ascii="Verdana" w:eastAsia="Times New Roman" w:hAnsi="Verdana" w:cs="Arial"/>
                <w:b/>
                <w:bCs/>
                <w:sz w:val="18"/>
              </w:rPr>
              <w:t>CONSUMER AFFAIRS, FOOD AND PUBLIC DISTRIBUTION</w:t>
            </w:r>
          </w:p>
        </w:tc>
        <w:tc>
          <w:tcPr>
            <w:tcW w:w="0" w:type="auto"/>
            <w:vAlign w:val="center"/>
            <w:hideMark/>
          </w:tcPr>
          <w:p w:rsidR="003E6187" w:rsidRPr="003C17D3" w:rsidRDefault="003E6187" w:rsidP="00EF0943">
            <w:pPr>
              <w:spacing w:after="0" w:line="240" w:lineRule="auto"/>
              <w:rPr>
                <w:rFonts w:ascii="Verdana" w:eastAsia="Times New Roman" w:hAnsi="Verdana" w:cs="Arial"/>
                <w:b/>
                <w:bCs/>
                <w:sz w:val="18"/>
                <w:szCs w:val="18"/>
              </w:rPr>
            </w:pPr>
            <w:r w:rsidRPr="003C17D3">
              <w:rPr>
                <w:rFonts w:ascii="Verdana" w:eastAsia="Times New Roman" w:hAnsi="Verdana" w:cs="Arial"/>
                <w:b/>
                <w:bCs/>
                <w:sz w:val="18"/>
                <w:szCs w:val="18"/>
              </w:rPr>
              <w:t>be pleased to state:-</w:t>
            </w:r>
          </w:p>
        </w:tc>
      </w:tr>
    </w:tbl>
    <w:p w:rsidR="003E6187" w:rsidRPr="003C17D3" w:rsidRDefault="003E6187" w:rsidP="003E6187">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9450"/>
      </w:tblGrid>
      <w:tr w:rsidR="003E6187" w:rsidRPr="003C17D3" w:rsidTr="00EF0943">
        <w:trPr>
          <w:trHeight w:val="4455"/>
          <w:tblCellSpacing w:w="15" w:type="dxa"/>
          <w:jc w:val="center"/>
        </w:trPr>
        <w:tc>
          <w:tcPr>
            <w:tcW w:w="0" w:type="auto"/>
            <w:vAlign w:val="center"/>
            <w:hideMark/>
          </w:tcPr>
          <w:tbl>
            <w:tblPr>
              <w:tblW w:w="9945" w:type="dxa"/>
              <w:tblCellMar>
                <w:top w:w="15" w:type="dxa"/>
                <w:left w:w="15" w:type="dxa"/>
                <w:bottom w:w="15" w:type="dxa"/>
                <w:right w:w="15" w:type="dxa"/>
              </w:tblCellMar>
              <w:tblLook w:val="04A0"/>
            </w:tblPr>
            <w:tblGrid>
              <w:gridCol w:w="9945"/>
            </w:tblGrid>
            <w:tr w:rsidR="003E6187" w:rsidRPr="003C17D3" w:rsidTr="00EF0943">
              <w:tc>
                <w:tcPr>
                  <w:tcW w:w="0" w:type="auto"/>
                  <w:vAlign w:val="center"/>
                  <w:hideMark/>
                </w:tcPr>
                <w:tbl>
                  <w:tblPr>
                    <w:tblW w:w="0" w:type="auto"/>
                    <w:tblCellSpacing w:w="15" w:type="dxa"/>
                    <w:tblCellMar>
                      <w:top w:w="15" w:type="dxa"/>
                      <w:left w:w="15" w:type="dxa"/>
                      <w:bottom w:w="15" w:type="dxa"/>
                      <w:right w:w="15" w:type="dxa"/>
                    </w:tblCellMar>
                    <w:tblLook w:val="04A0"/>
                  </w:tblPr>
                  <w:tblGrid>
                    <w:gridCol w:w="9915"/>
                  </w:tblGrid>
                  <w:tr w:rsidR="003E6187" w:rsidRPr="003C17D3" w:rsidTr="00EF0943">
                    <w:trPr>
                      <w:tblCellSpacing w:w="15" w:type="dxa"/>
                    </w:trPr>
                    <w:tc>
                      <w:tcPr>
                        <w:tcW w:w="0" w:type="auto"/>
                        <w:vAlign w:val="center"/>
                        <w:hideMark/>
                      </w:tcPr>
                      <w:p w:rsidR="003E6187" w:rsidRPr="003C17D3" w:rsidRDefault="003E6187" w:rsidP="00EF0943">
                        <w:pPr>
                          <w:spacing w:after="0" w:line="240" w:lineRule="auto"/>
                          <w:rPr>
                            <w:rFonts w:ascii="Verdana" w:eastAsia="Times New Roman" w:hAnsi="Verdana" w:cs="Arial"/>
                            <w:b/>
                            <w:bCs/>
                            <w:sz w:val="18"/>
                            <w:szCs w:val="18"/>
                          </w:rPr>
                        </w:pP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(a) the linkage between percentage of sugar recovery and the State Administered Price of sugarcane during the last three </w:t>
                        </w:r>
                        <w:proofErr w:type="spellStart"/>
                        <w:r w:rsidRPr="003C17D3">
                          <w:rPr>
                            <w:rFonts w:ascii="Verdana" w:eastAsia="Times New Roman" w:hAnsi="Verdana" w:cs="Arial"/>
                            <w:b/>
                            <w:bCs/>
                            <w:sz w:val="18"/>
                            <w:szCs w:val="18"/>
                          </w:rPr>
                          <w:t>years,State</w:t>
                        </w:r>
                        <w:proofErr w:type="spellEnd"/>
                        <w:r w:rsidRPr="003C17D3">
                          <w:rPr>
                            <w:rFonts w:ascii="Verdana" w:eastAsia="Times New Roman" w:hAnsi="Verdana" w:cs="Arial"/>
                            <w:b/>
                            <w:bCs/>
                            <w:sz w:val="18"/>
                            <w:szCs w:val="18"/>
                          </w:rPr>
                          <w:t xml:space="preserve">-wise;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(b) the details of delivery cost, transportation cost and harvesting cost, separately during the </w:t>
                        </w:r>
                        <w:proofErr w:type="spellStart"/>
                        <w:r w:rsidRPr="003C17D3">
                          <w:rPr>
                            <w:rFonts w:ascii="Verdana" w:eastAsia="Times New Roman" w:hAnsi="Verdana" w:cs="Arial"/>
                            <w:b/>
                            <w:bCs/>
                            <w:sz w:val="18"/>
                            <w:szCs w:val="18"/>
                          </w:rPr>
                          <w:t>said</w:t>
                        </w:r>
                        <w:proofErr w:type="spellEnd"/>
                        <w:r w:rsidRPr="003C17D3">
                          <w:rPr>
                            <w:rFonts w:ascii="Verdana" w:eastAsia="Times New Roman" w:hAnsi="Verdana" w:cs="Arial"/>
                            <w:b/>
                            <w:bCs/>
                            <w:sz w:val="18"/>
                            <w:szCs w:val="18"/>
                          </w:rPr>
                          <w:t xml:space="preserve"> period; and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(c) the relation between sugar recovery and the Sugar Development Fund? </w:t>
                        </w:r>
                      </w:p>
                    </w:tc>
                  </w:tr>
                </w:tbl>
                <w:p w:rsidR="003E6187" w:rsidRPr="003C17D3" w:rsidRDefault="003E6187" w:rsidP="00EF0943">
                  <w:pPr>
                    <w:spacing w:after="0" w:line="240" w:lineRule="auto"/>
                    <w:rPr>
                      <w:rFonts w:ascii="Arial" w:eastAsia="Times New Roman" w:hAnsi="Arial" w:cs="Arial"/>
                      <w:vanish/>
                      <w:sz w:val="18"/>
                      <w:szCs w:val="18"/>
                    </w:rPr>
                  </w:pPr>
                </w:p>
                <w:tbl>
                  <w:tblPr>
                    <w:tblW w:w="0" w:type="auto"/>
                    <w:jc w:val="center"/>
                    <w:tblCellSpacing w:w="15" w:type="dxa"/>
                    <w:tblCellMar>
                      <w:top w:w="15" w:type="dxa"/>
                      <w:left w:w="15" w:type="dxa"/>
                      <w:bottom w:w="15" w:type="dxa"/>
                      <w:right w:w="15" w:type="dxa"/>
                    </w:tblCellMar>
                    <w:tblLook w:val="04A0"/>
                  </w:tblPr>
                  <w:tblGrid>
                    <w:gridCol w:w="9915"/>
                  </w:tblGrid>
                  <w:tr w:rsidR="003E6187" w:rsidRPr="003C17D3" w:rsidTr="00EF0943">
                    <w:trPr>
                      <w:tblCellSpacing w:w="15" w:type="dxa"/>
                      <w:jc w:val="center"/>
                    </w:trPr>
                    <w:tc>
                      <w:tcPr>
                        <w:tcW w:w="0" w:type="auto"/>
                        <w:vAlign w:val="center"/>
                        <w:hideMark/>
                      </w:tcPr>
                      <w:p w:rsidR="003E6187" w:rsidRPr="003C17D3" w:rsidRDefault="003E6187" w:rsidP="00EF0943">
                        <w:pPr>
                          <w:spacing w:after="0" w:line="240" w:lineRule="auto"/>
                          <w:jc w:val="center"/>
                          <w:rPr>
                            <w:rFonts w:ascii="Verdana" w:eastAsia="Times New Roman" w:hAnsi="Verdana" w:cs="Arial"/>
                            <w:b/>
                            <w:bCs/>
                            <w:sz w:val="21"/>
                            <w:szCs w:val="21"/>
                          </w:rPr>
                        </w:pPr>
                        <w:r w:rsidRPr="003C17D3">
                          <w:rPr>
                            <w:rFonts w:ascii="Verdana" w:eastAsia="Times New Roman" w:hAnsi="Verdana" w:cs="Arial"/>
                            <w:b/>
                            <w:bCs/>
                            <w:sz w:val="21"/>
                            <w:szCs w:val="21"/>
                          </w:rPr>
                          <w:t>ANSWER</w:t>
                        </w:r>
                      </w:p>
                    </w:tc>
                  </w:tr>
                  <w:tr w:rsidR="003E6187" w:rsidRPr="003C17D3" w:rsidTr="00EF0943">
                    <w:trPr>
                      <w:tblCellSpacing w:w="15" w:type="dxa"/>
                      <w:jc w:val="center"/>
                    </w:trPr>
                    <w:tc>
                      <w:tcPr>
                        <w:tcW w:w="0" w:type="auto"/>
                        <w:vAlign w:val="center"/>
                        <w:hideMark/>
                      </w:tcPr>
                      <w:p w:rsidR="003E6187" w:rsidRPr="003C17D3" w:rsidRDefault="003E6187" w:rsidP="00EF0943">
                        <w:pPr>
                          <w:spacing w:after="0" w:line="240" w:lineRule="auto"/>
                          <w:rPr>
                            <w:rFonts w:ascii="Verdana" w:eastAsia="Times New Roman" w:hAnsi="Verdana" w:cs="Arial"/>
                            <w:b/>
                            <w:bCs/>
                            <w:sz w:val="18"/>
                            <w:szCs w:val="18"/>
                          </w:rPr>
                        </w:pPr>
                        <w:r w:rsidRPr="003C17D3">
                          <w:rPr>
                            <w:rFonts w:ascii="Verdana" w:eastAsia="Times New Roman" w:hAnsi="Verdana" w:cs="Arial"/>
                            <w:b/>
                            <w:bCs/>
                            <w:sz w:val="18"/>
                            <w:szCs w:val="18"/>
                          </w:rPr>
                          <w:br/>
                          <w:t xml:space="preserve">MINISTER OF STATE (INDEPENDENT CHARGE) FOR CONSUMER AFFAIRS, FOOD &amp; PUBLIC DISTRIBUTION (PROF. K.V. THOMAS)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(a) The Central Government has been fixing the Statutory Minimum Price (SMP) / the Fair and Remunerative Price (FRP) of sugarcane for every sugar season linked to the sugar recovery on all India basis and not State-wise. However, the States of Punjab, Haryana, </w:t>
                        </w:r>
                        <w:proofErr w:type="spellStart"/>
                        <w:r w:rsidRPr="003C17D3">
                          <w:rPr>
                            <w:rFonts w:ascii="Verdana" w:eastAsia="Times New Roman" w:hAnsi="Verdana" w:cs="Arial"/>
                            <w:b/>
                            <w:bCs/>
                            <w:sz w:val="18"/>
                            <w:szCs w:val="18"/>
                          </w:rPr>
                          <w:t>Uttrakhand</w:t>
                        </w:r>
                        <w:proofErr w:type="spellEnd"/>
                        <w:r w:rsidRPr="003C17D3">
                          <w:rPr>
                            <w:rFonts w:ascii="Verdana" w:eastAsia="Times New Roman" w:hAnsi="Verdana" w:cs="Arial"/>
                            <w:b/>
                            <w:bCs/>
                            <w:sz w:val="18"/>
                            <w:szCs w:val="18"/>
                          </w:rPr>
                          <w:t xml:space="preserve">, Uttar Pradesh and Tamil Nadu announce the State Advised Price (SAP) of sugarcane. In all these States except Tamil Nadu, State Advised Price is not linked to sugar recovery. A statement indicating the SMP / FRP and SAP of sugarcane in respect of said five States for the last three years is at Annexure.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(b) The average transportation cost of sugarcane from field to factory, taken into account in fixation of SMP / FRP of sugarcane for the said years was Rs. 13.36 per quintal. With regard to harvesting cost, operation wise cost details are not generated. Since sugar mills procure sugarcane from their respective cane reservation area, the question of delivery cost does not arise.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(c) Sugar recovery is dependent on many factors like cane varieties, plant and machinery of the factory, agro-climatic conditions etc. Loans from Sugar Development Fund at concessional rate of interest are provided, inter-alia, for cane development activities including varietal improvement and modernization of plant and machinery.</w:t>
                        </w:r>
                      </w:p>
                    </w:tc>
                  </w:tr>
                </w:tbl>
                <w:p w:rsidR="003E6187" w:rsidRPr="003C17D3" w:rsidRDefault="003E6187" w:rsidP="00EF0943">
                  <w:pPr>
                    <w:spacing w:after="0" w:line="240" w:lineRule="auto"/>
                    <w:rPr>
                      <w:rFonts w:ascii="Arial" w:eastAsia="Times New Roman" w:hAnsi="Arial" w:cs="Arial"/>
                      <w:sz w:val="18"/>
                      <w:szCs w:val="18"/>
                    </w:rPr>
                  </w:pPr>
                </w:p>
              </w:tc>
            </w:tr>
          </w:tbl>
          <w:p w:rsidR="003E6187" w:rsidRPr="003C17D3" w:rsidRDefault="003E6187" w:rsidP="00EF0943">
            <w:pPr>
              <w:spacing w:after="0" w:line="240" w:lineRule="auto"/>
              <w:rPr>
                <w:rFonts w:ascii="Arial" w:eastAsia="Times New Roman" w:hAnsi="Arial" w:cs="Arial"/>
                <w:sz w:val="18"/>
                <w:szCs w:val="18"/>
              </w:rPr>
            </w:pPr>
          </w:p>
        </w:tc>
      </w:tr>
    </w:tbl>
    <w:p w:rsidR="003E6187" w:rsidRPr="003C17D3" w:rsidRDefault="003E6187" w:rsidP="003E6187"/>
    <w:p w:rsidR="003E6187" w:rsidRDefault="003E6187" w:rsidP="003E6187"/>
    <w:p w:rsidR="003E6187" w:rsidRPr="003C17D3" w:rsidRDefault="003E6187" w:rsidP="003E6187">
      <w:pPr>
        <w:tabs>
          <w:tab w:val="left" w:pos="0"/>
        </w:tabs>
        <w:spacing w:after="0" w:line="240" w:lineRule="auto"/>
        <w:ind w:right="-306"/>
        <w:jc w:val="both"/>
        <w:rPr>
          <w:rFonts w:ascii="Arial Black" w:eastAsia="Times New Roman" w:hAnsi="Arial Black" w:cs="Times New Roman"/>
          <w:sz w:val="24"/>
          <w:szCs w:val="24"/>
        </w:rPr>
      </w:pPr>
      <w:r w:rsidRPr="003C17D3">
        <w:rPr>
          <w:rFonts w:ascii="Arial Black" w:eastAsia="Times New Roman" w:hAnsi="Arial Black" w:cs="Times New Roman"/>
          <w:sz w:val="24"/>
          <w:szCs w:val="24"/>
        </w:rPr>
        <w:t>ANNEXURE REFERRED TO IN REPLY TO PART (a) OF THE UNSTARRED QUESTION NO. 1438 DUE FOR ANSWER ON 21.08.2012 IN THE LOK SABHA</w:t>
      </w:r>
    </w:p>
    <w:p w:rsidR="003E6187" w:rsidRPr="003C17D3" w:rsidRDefault="003E6187" w:rsidP="003E6187">
      <w:pPr>
        <w:spacing w:after="0"/>
        <w:rPr>
          <w:rFonts w:ascii="Arial Black" w:eastAsia="Times New Roman" w:hAnsi="Arial Black" w:cs="Times New Roman"/>
          <w:lang w:val="en-IN"/>
        </w:rPr>
      </w:pPr>
    </w:p>
    <w:p w:rsidR="003E6187" w:rsidRPr="003C17D3" w:rsidRDefault="003E6187" w:rsidP="003E6187">
      <w:pPr>
        <w:spacing w:after="0"/>
        <w:rPr>
          <w:rFonts w:eastAsiaTheme="minorEastAsia"/>
          <w:szCs w:val="20"/>
          <w:lang w:val="en-IN"/>
        </w:rPr>
      </w:pPr>
      <w:r w:rsidRPr="003C17D3">
        <w:rPr>
          <w:rFonts w:ascii="Arial Black" w:eastAsia="Times New Roman" w:hAnsi="Arial Black" w:cs="Times New Roman"/>
          <w:lang w:val="en-IN"/>
        </w:rPr>
        <w:t xml:space="preserve">Statutory Minimum Price (SMP) / Fair and Remunerative Price (FRP)          </w:t>
      </w:r>
    </w:p>
    <w:p w:rsidR="003E6187" w:rsidRPr="003C17D3" w:rsidRDefault="003E6187" w:rsidP="003E6187">
      <w:pPr>
        <w:spacing w:after="0"/>
        <w:rPr>
          <w:rFonts w:eastAsiaTheme="minorEastAsia"/>
          <w:szCs w:val="20"/>
          <w:lang w:val="en-IN"/>
        </w:rPr>
      </w:pPr>
      <w:r w:rsidRPr="003C17D3">
        <w:rPr>
          <w:rFonts w:eastAsiaTheme="minorEastAsia"/>
          <w:szCs w:val="20"/>
          <w:lang w:val="en-IN"/>
        </w:rPr>
        <w:t> </w:t>
      </w:r>
    </w:p>
    <w:p w:rsidR="003E6187" w:rsidRPr="003C17D3" w:rsidRDefault="003E6187" w:rsidP="003E6187">
      <w:pPr>
        <w:spacing w:after="0"/>
        <w:jc w:val="right"/>
        <w:rPr>
          <w:rFonts w:eastAsiaTheme="minorEastAsia"/>
          <w:szCs w:val="20"/>
          <w:lang w:val="en-IN"/>
        </w:rPr>
      </w:pPr>
      <w:r w:rsidRPr="003C17D3">
        <w:rPr>
          <w:rFonts w:ascii="Arial Black" w:eastAsia="Times New Roman" w:hAnsi="Arial Black" w:cs="Times New Roman"/>
          <w:lang w:val="en-IN"/>
        </w:rPr>
        <w:t xml:space="preserve">(Rs. </w:t>
      </w:r>
      <w:proofErr w:type="gramStart"/>
      <w:r w:rsidRPr="003C17D3">
        <w:rPr>
          <w:rFonts w:ascii="Arial Black" w:eastAsia="Times New Roman" w:hAnsi="Arial Black" w:cs="Times New Roman"/>
          <w:lang w:val="en-IN"/>
        </w:rPr>
        <w:t>Per</w:t>
      </w:r>
      <w:proofErr w:type="gramEnd"/>
      <w:r w:rsidRPr="003C17D3">
        <w:rPr>
          <w:rFonts w:ascii="Arial Black" w:eastAsia="Times New Roman" w:hAnsi="Arial Black" w:cs="Times New Roman"/>
          <w:lang w:val="en-IN"/>
        </w:rPr>
        <w:t xml:space="preserve"> Quintal) </w:t>
      </w:r>
    </w:p>
    <w:p w:rsidR="003E6187" w:rsidRPr="003C17D3" w:rsidRDefault="003E6187" w:rsidP="003E6187">
      <w:pPr>
        <w:spacing w:after="0"/>
        <w:rPr>
          <w:rFonts w:ascii="Arial Black" w:eastAsia="Times New Roman" w:hAnsi="Arial Black" w:cs="Times New Roman"/>
          <w:lang w:val="en-IN"/>
        </w:rPr>
      </w:pPr>
    </w:p>
    <w:tbl>
      <w:tblPr>
        <w:tblW w:w="927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4320"/>
        <w:gridCol w:w="2880"/>
      </w:tblGrid>
      <w:tr w:rsidR="003E6187" w:rsidRPr="003C17D3" w:rsidTr="00EF0943">
        <w:tc>
          <w:tcPr>
            <w:tcW w:w="2070" w:type="dxa"/>
            <w:tcBorders>
              <w:top w:val="single" w:sz="4" w:space="0" w:color="000000"/>
              <w:left w:val="single" w:sz="4" w:space="0" w:color="000000"/>
              <w:bottom w:val="single" w:sz="4" w:space="0" w:color="000000"/>
              <w:right w:val="single" w:sz="4" w:space="0" w:color="000000"/>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Sugar Season</w:t>
            </w:r>
          </w:p>
        </w:tc>
        <w:tc>
          <w:tcPr>
            <w:tcW w:w="4320" w:type="dxa"/>
            <w:tcBorders>
              <w:top w:val="single" w:sz="4" w:space="0" w:color="000000"/>
              <w:left w:val="single" w:sz="4" w:space="0" w:color="000000"/>
              <w:bottom w:val="single" w:sz="4" w:space="0" w:color="000000"/>
              <w:right w:val="single" w:sz="4" w:space="0" w:color="000000"/>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SMP / FRP</w:t>
            </w:r>
          </w:p>
        </w:tc>
        <w:tc>
          <w:tcPr>
            <w:tcW w:w="2880" w:type="dxa"/>
            <w:tcBorders>
              <w:top w:val="single" w:sz="4" w:space="0" w:color="000000"/>
              <w:left w:val="single" w:sz="4" w:space="0" w:color="000000"/>
              <w:bottom w:val="single" w:sz="4" w:space="0" w:color="000000"/>
              <w:right w:val="single" w:sz="4" w:space="0" w:color="000000"/>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Basic recovery rate</w:t>
            </w:r>
          </w:p>
        </w:tc>
      </w:tr>
      <w:tr w:rsidR="003E6187" w:rsidRPr="003C17D3" w:rsidTr="00EF0943">
        <w:tc>
          <w:tcPr>
            <w:tcW w:w="2070" w:type="dxa"/>
            <w:tcBorders>
              <w:top w:val="single" w:sz="4" w:space="0" w:color="000000"/>
              <w:left w:val="single" w:sz="4" w:space="0" w:color="000000"/>
              <w:bottom w:val="single" w:sz="4" w:space="0" w:color="000000"/>
              <w:right w:val="single" w:sz="4" w:space="0" w:color="000000"/>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2008-09</w:t>
            </w:r>
          </w:p>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(SMP)</w:t>
            </w:r>
          </w:p>
        </w:tc>
        <w:tc>
          <w:tcPr>
            <w:tcW w:w="4320" w:type="dxa"/>
            <w:tcBorders>
              <w:top w:val="single" w:sz="4" w:space="0" w:color="000000"/>
              <w:left w:val="single" w:sz="4" w:space="0" w:color="000000"/>
              <w:bottom w:val="single" w:sz="4" w:space="0" w:color="000000"/>
              <w:right w:val="single" w:sz="4" w:space="0" w:color="000000"/>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81.18</w:t>
            </w:r>
          </w:p>
        </w:tc>
        <w:tc>
          <w:tcPr>
            <w:tcW w:w="2880" w:type="dxa"/>
            <w:tcBorders>
              <w:top w:val="single" w:sz="4" w:space="0" w:color="000000"/>
              <w:left w:val="single" w:sz="4" w:space="0" w:color="000000"/>
              <w:bottom w:val="single" w:sz="4" w:space="0" w:color="000000"/>
              <w:right w:val="single" w:sz="4" w:space="0" w:color="000000"/>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9.0</w:t>
            </w:r>
          </w:p>
        </w:tc>
      </w:tr>
      <w:tr w:rsidR="003E6187" w:rsidRPr="003C17D3" w:rsidTr="00EF0943">
        <w:tc>
          <w:tcPr>
            <w:tcW w:w="2070" w:type="dxa"/>
            <w:tcBorders>
              <w:top w:val="single" w:sz="4" w:space="0" w:color="000000"/>
              <w:left w:val="single" w:sz="4" w:space="0" w:color="000000"/>
              <w:bottom w:val="single" w:sz="4" w:space="0" w:color="000000"/>
              <w:right w:val="single" w:sz="4" w:space="0" w:color="000000"/>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2009-10</w:t>
            </w:r>
          </w:p>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(FRP)</w:t>
            </w:r>
          </w:p>
        </w:tc>
        <w:tc>
          <w:tcPr>
            <w:tcW w:w="4320" w:type="dxa"/>
            <w:tcBorders>
              <w:top w:val="single" w:sz="4" w:space="0" w:color="000000"/>
              <w:left w:val="single" w:sz="4" w:space="0" w:color="000000"/>
              <w:bottom w:val="single" w:sz="4" w:space="0" w:color="000000"/>
              <w:right w:val="single" w:sz="4" w:space="0" w:color="000000"/>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129.84</w:t>
            </w:r>
          </w:p>
        </w:tc>
        <w:tc>
          <w:tcPr>
            <w:tcW w:w="2880" w:type="dxa"/>
            <w:tcBorders>
              <w:top w:val="single" w:sz="4" w:space="0" w:color="000000"/>
              <w:left w:val="single" w:sz="4" w:space="0" w:color="000000"/>
              <w:bottom w:val="single" w:sz="4" w:space="0" w:color="000000"/>
              <w:right w:val="single" w:sz="4" w:space="0" w:color="000000"/>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9.5</w:t>
            </w:r>
          </w:p>
        </w:tc>
      </w:tr>
      <w:tr w:rsidR="003E6187" w:rsidRPr="003C17D3" w:rsidTr="00EF0943">
        <w:tc>
          <w:tcPr>
            <w:tcW w:w="2070" w:type="dxa"/>
            <w:tcBorders>
              <w:top w:val="single" w:sz="4" w:space="0" w:color="000000"/>
              <w:left w:val="single" w:sz="4" w:space="0" w:color="000000"/>
              <w:bottom w:val="single" w:sz="4" w:space="0" w:color="000000"/>
              <w:right w:val="single" w:sz="4" w:space="0" w:color="000000"/>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2010-11</w:t>
            </w:r>
          </w:p>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(FRP)</w:t>
            </w:r>
          </w:p>
        </w:tc>
        <w:tc>
          <w:tcPr>
            <w:tcW w:w="4320" w:type="dxa"/>
            <w:tcBorders>
              <w:top w:val="single" w:sz="4" w:space="0" w:color="000000"/>
              <w:left w:val="single" w:sz="4" w:space="0" w:color="000000"/>
              <w:bottom w:val="single" w:sz="4" w:space="0" w:color="000000"/>
              <w:right w:val="single" w:sz="4" w:space="0" w:color="000000"/>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139.12</w:t>
            </w:r>
          </w:p>
        </w:tc>
        <w:tc>
          <w:tcPr>
            <w:tcW w:w="2880" w:type="dxa"/>
            <w:tcBorders>
              <w:top w:val="single" w:sz="4" w:space="0" w:color="000000"/>
              <w:left w:val="single" w:sz="4" w:space="0" w:color="000000"/>
              <w:bottom w:val="single" w:sz="4" w:space="0" w:color="000000"/>
              <w:right w:val="single" w:sz="4" w:space="0" w:color="000000"/>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9.5</w:t>
            </w:r>
          </w:p>
        </w:tc>
      </w:tr>
    </w:tbl>
    <w:p w:rsidR="003E6187" w:rsidRPr="003C17D3" w:rsidRDefault="003E6187" w:rsidP="003E6187">
      <w:pPr>
        <w:spacing w:after="0"/>
        <w:rPr>
          <w:rFonts w:ascii="Arial Black" w:eastAsia="Times New Roman" w:hAnsi="Arial Black" w:cs="Times New Roman"/>
          <w:u w:val="single"/>
          <w:lang w:val="en-IN"/>
        </w:rPr>
      </w:pPr>
      <w:r w:rsidRPr="003C17D3">
        <w:rPr>
          <w:rFonts w:ascii="Arial Black" w:eastAsia="Times New Roman" w:hAnsi="Arial Black" w:cs="Times New Roman"/>
          <w:u w:val="single"/>
          <w:lang w:val="en-IN"/>
        </w:rPr>
        <w:t>State Advised Prices</w:t>
      </w:r>
    </w:p>
    <w:p w:rsidR="003E6187" w:rsidRPr="003C17D3" w:rsidRDefault="003E6187" w:rsidP="003E6187">
      <w:pPr>
        <w:spacing w:after="0"/>
        <w:ind w:left="720"/>
        <w:jc w:val="right"/>
        <w:rPr>
          <w:rFonts w:ascii="Arial Black" w:eastAsia="Times New Roman" w:hAnsi="Arial Black" w:cs="Times New Roman"/>
          <w:lang w:val="en-IN"/>
        </w:rPr>
      </w:pPr>
      <w:r w:rsidRPr="003C17D3">
        <w:rPr>
          <w:rFonts w:ascii="Arial Black" w:eastAsia="Times New Roman" w:hAnsi="Arial Black" w:cs="Times New Roman"/>
          <w:lang w:val="en-IN"/>
        </w:rPr>
        <w:t>(Rs. Per quintal)</w:t>
      </w:r>
    </w:p>
    <w:tbl>
      <w:tblPr>
        <w:tblW w:w="95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070"/>
        <w:gridCol w:w="1530"/>
        <w:gridCol w:w="1868"/>
        <w:gridCol w:w="2322"/>
      </w:tblGrid>
      <w:tr w:rsidR="003E6187" w:rsidRPr="003C17D3" w:rsidTr="00EF0943">
        <w:tc>
          <w:tcPr>
            <w:tcW w:w="180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State</w:t>
            </w:r>
          </w:p>
        </w:tc>
        <w:tc>
          <w:tcPr>
            <w:tcW w:w="207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Variety</w:t>
            </w:r>
          </w:p>
        </w:tc>
        <w:tc>
          <w:tcPr>
            <w:tcW w:w="153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2008-09 season</w:t>
            </w:r>
          </w:p>
        </w:tc>
        <w:tc>
          <w:tcPr>
            <w:tcW w:w="1868"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2009-10 sugar season</w:t>
            </w:r>
          </w:p>
        </w:tc>
        <w:tc>
          <w:tcPr>
            <w:tcW w:w="2322"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2010-11 sugar season</w:t>
            </w:r>
          </w:p>
        </w:tc>
      </w:tr>
      <w:tr w:rsidR="003E6187" w:rsidRPr="003C17D3" w:rsidTr="00EF0943">
        <w:tc>
          <w:tcPr>
            <w:tcW w:w="180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1</w:t>
            </w:r>
          </w:p>
        </w:tc>
        <w:tc>
          <w:tcPr>
            <w:tcW w:w="207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2</w:t>
            </w:r>
          </w:p>
        </w:tc>
        <w:tc>
          <w:tcPr>
            <w:tcW w:w="153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3</w:t>
            </w:r>
          </w:p>
        </w:tc>
        <w:tc>
          <w:tcPr>
            <w:tcW w:w="1868"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4</w:t>
            </w:r>
          </w:p>
        </w:tc>
        <w:tc>
          <w:tcPr>
            <w:tcW w:w="2322"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5</w:t>
            </w:r>
          </w:p>
        </w:tc>
      </w:tr>
      <w:tr w:rsidR="003E6187" w:rsidRPr="003C17D3" w:rsidTr="00EF0943">
        <w:trPr>
          <w:cantSplit/>
        </w:trPr>
        <w:tc>
          <w:tcPr>
            <w:tcW w:w="1800" w:type="dxa"/>
            <w:vMerge w:val="restart"/>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Punjab</w:t>
            </w:r>
          </w:p>
        </w:tc>
        <w:tc>
          <w:tcPr>
            <w:tcW w:w="207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Early varieties</w:t>
            </w:r>
          </w:p>
        </w:tc>
        <w:tc>
          <w:tcPr>
            <w:tcW w:w="153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 xml:space="preserve">165 </w:t>
            </w:r>
          </w:p>
        </w:tc>
        <w:tc>
          <w:tcPr>
            <w:tcW w:w="1868"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180</w:t>
            </w:r>
          </w:p>
        </w:tc>
        <w:tc>
          <w:tcPr>
            <w:tcW w:w="2322"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200</w:t>
            </w:r>
          </w:p>
        </w:tc>
      </w:tr>
      <w:tr w:rsidR="003E6187" w:rsidRPr="003C17D3" w:rsidTr="00EF09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187" w:rsidRPr="003C17D3" w:rsidRDefault="003E6187" w:rsidP="00EF0943">
            <w:pPr>
              <w:spacing w:after="0" w:line="240" w:lineRule="auto"/>
              <w:rPr>
                <w:rFonts w:ascii="Arial Black" w:eastAsia="Times New Roman" w:hAnsi="Arial Black" w:cs="Times New Roman"/>
              </w:rPr>
            </w:pPr>
          </w:p>
        </w:tc>
        <w:tc>
          <w:tcPr>
            <w:tcW w:w="207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Mid varieties</w:t>
            </w:r>
          </w:p>
        </w:tc>
        <w:tc>
          <w:tcPr>
            <w:tcW w:w="153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 xml:space="preserve">160 </w:t>
            </w:r>
          </w:p>
        </w:tc>
        <w:tc>
          <w:tcPr>
            <w:tcW w:w="1868"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175</w:t>
            </w:r>
          </w:p>
        </w:tc>
        <w:tc>
          <w:tcPr>
            <w:tcW w:w="2322"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195</w:t>
            </w:r>
          </w:p>
        </w:tc>
      </w:tr>
      <w:tr w:rsidR="003E6187" w:rsidRPr="003C17D3" w:rsidTr="00EF09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187" w:rsidRPr="003C17D3" w:rsidRDefault="003E6187" w:rsidP="00EF0943">
            <w:pPr>
              <w:spacing w:after="0" w:line="240" w:lineRule="auto"/>
              <w:rPr>
                <w:rFonts w:ascii="Arial Black" w:eastAsia="Times New Roman" w:hAnsi="Arial Black" w:cs="Times New Roman"/>
              </w:rPr>
            </w:pPr>
          </w:p>
        </w:tc>
        <w:tc>
          <w:tcPr>
            <w:tcW w:w="207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Late varieties</w:t>
            </w:r>
          </w:p>
        </w:tc>
        <w:tc>
          <w:tcPr>
            <w:tcW w:w="153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 xml:space="preserve">155 </w:t>
            </w:r>
          </w:p>
        </w:tc>
        <w:tc>
          <w:tcPr>
            <w:tcW w:w="1868"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170</w:t>
            </w:r>
          </w:p>
        </w:tc>
        <w:tc>
          <w:tcPr>
            <w:tcW w:w="2322"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190</w:t>
            </w:r>
          </w:p>
        </w:tc>
      </w:tr>
      <w:tr w:rsidR="003E6187" w:rsidRPr="003C17D3" w:rsidTr="00EF0943">
        <w:trPr>
          <w:cantSplit/>
        </w:trPr>
        <w:tc>
          <w:tcPr>
            <w:tcW w:w="1800" w:type="dxa"/>
            <w:vMerge w:val="restart"/>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Haryana</w:t>
            </w:r>
          </w:p>
        </w:tc>
        <w:tc>
          <w:tcPr>
            <w:tcW w:w="207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Early varieties</w:t>
            </w:r>
          </w:p>
        </w:tc>
        <w:tc>
          <w:tcPr>
            <w:tcW w:w="153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 xml:space="preserve">170 </w:t>
            </w:r>
          </w:p>
        </w:tc>
        <w:tc>
          <w:tcPr>
            <w:tcW w:w="1868"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right="-126"/>
              <w:jc w:val="center"/>
              <w:rPr>
                <w:rFonts w:ascii="Arial Black" w:eastAsia="Times New Roman" w:hAnsi="Arial Black" w:cs="Times New Roman"/>
              </w:rPr>
            </w:pPr>
            <w:r w:rsidRPr="003C17D3">
              <w:rPr>
                <w:rFonts w:ascii="Arial Black" w:eastAsia="Times New Roman" w:hAnsi="Arial Black" w:cs="Times New Roman"/>
              </w:rPr>
              <w:t xml:space="preserve">185 </w:t>
            </w:r>
          </w:p>
        </w:tc>
        <w:tc>
          <w:tcPr>
            <w:tcW w:w="2322"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220</w:t>
            </w:r>
          </w:p>
        </w:tc>
      </w:tr>
      <w:tr w:rsidR="003E6187" w:rsidRPr="003C17D3" w:rsidTr="00EF09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187" w:rsidRPr="003C17D3" w:rsidRDefault="003E6187" w:rsidP="00EF0943">
            <w:pPr>
              <w:spacing w:after="0" w:line="240" w:lineRule="auto"/>
              <w:rPr>
                <w:rFonts w:ascii="Arial Black" w:eastAsia="Times New Roman" w:hAnsi="Arial Black" w:cs="Times New Roman"/>
              </w:rPr>
            </w:pPr>
          </w:p>
        </w:tc>
        <w:tc>
          <w:tcPr>
            <w:tcW w:w="207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Mid varieties</w:t>
            </w:r>
          </w:p>
        </w:tc>
        <w:tc>
          <w:tcPr>
            <w:tcW w:w="153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 xml:space="preserve">165 </w:t>
            </w:r>
          </w:p>
        </w:tc>
        <w:tc>
          <w:tcPr>
            <w:tcW w:w="1868"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right="-126"/>
              <w:jc w:val="center"/>
              <w:rPr>
                <w:rFonts w:ascii="Arial Black" w:eastAsia="Times New Roman" w:hAnsi="Arial Black" w:cs="Times New Roman"/>
              </w:rPr>
            </w:pPr>
            <w:r w:rsidRPr="003C17D3">
              <w:rPr>
                <w:rFonts w:ascii="Arial Black" w:eastAsia="Times New Roman" w:hAnsi="Arial Black" w:cs="Times New Roman"/>
              </w:rPr>
              <w:t xml:space="preserve">180 </w:t>
            </w:r>
          </w:p>
        </w:tc>
        <w:tc>
          <w:tcPr>
            <w:tcW w:w="2322"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215</w:t>
            </w:r>
          </w:p>
        </w:tc>
      </w:tr>
      <w:tr w:rsidR="003E6187" w:rsidRPr="003C17D3" w:rsidTr="00EF09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187" w:rsidRPr="003C17D3" w:rsidRDefault="003E6187" w:rsidP="00EF0943">
            <w:pPr>
              <w:spacing w:after="0" w:line="240" w:lineRule="auto"/>
              <w:rPr>
                <w:rFonts w:ascii="Arial Black" w:eastAsia="Times New Roman" w:hAnsi="Arial Black" w:cs="Times New Roman"/>
              </w:rPr>
            </w:pPr>
          </w:p>
        </w:tc>
        <w:tc>
          <w:tcPr>
            <w:tcW w:w="207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Late varieties</w:t>
            </w:r>
          </w:p>
        </w:tc>
        <w:tc>
          <w:tcPr>
            <w:tcW w:w="153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 xml:space="preserve">160 </w:t>
            </w:r>
          </w:p>
        </w:tc>
        <w:tc>
          <w:tcPr>
            <w:tcW w:w="1868"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right="-126"/>
              <w:jc w:val="center"/>
              <w:rPr>
                <w:rFonts w:ascii="Arial Black" w:eastAsia="Times New Roman" w:hAnsi="Arial Black" w:cs="Times New Roman"/>
              </w:rPr>
            </w:pPr>
            <w:r w:rsidRPr="003C17D3">
              <w:rPr>
                <w:rFonts w:ascii="Arial Black" w:eastAsia="Times New Roman" w:hAnsi="Arial Black" w:cs="Times New Roman"/>
              </w:rPr>
              <w:t xml:space="preserve">175 </w:t>
            </w:r>
          </w:p>
        </w:tc>
        <w:tc>
          <w:tcPr>
            <w:tcW w:w="2322"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210</w:t>
            </w:r>
          </w:p>
        </w:tc>
      </w:tr>
      <w:tr w:rsidR="003E6187" w:rsidRPr="003C17D3" w:rsidTr="00EF0943">
        <w:trPr>
          <w:cantSplit/>
        </w:trPr>
        <w:tc>
          <w:tcPr>
            <w:tcW w:w="1800" w:type="dxa"/>
            <w:vMerge w:val="restart"/>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Uttar Pradesh</w:t>
            </w:r>
          </w:p>
        </w:tc>
        <w:tc>
          <w:tcPr>
            <w:tcW w:w="207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left="42" w:right="-140" w:hanging="42"/>
              <w:rPr>
                <w:rFonts w:ascii="Arial Black" w:eastAsia="Times New Roman" w:hAnsi="Arial Black" w:cs="Times New Roman"/>
              </w:rPr>
            </w:pPr>
            <w:r w:rsidRPr="003C17D3">
              <w:rPr>
                <w:rFonts w:ascii="Arial Black" w:eastAsia="Times New Roman" w:hAnsi="Arial Black" w:cs="Times New Roman"/>
              </w:rPr>
              <w:t>Early varieties</w:t>
            </w:r>
          </w:p>
        </w:tc>
        <w:tc>
          <w:tcPr>
            <w:tcW w:w="153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right="-106"/>
              <w:rPr>
                <w:rFonts w:ascii="Arial Black" w:eastAsia="Times New Roman" w:hAnsi="Arial Black" w:cs="Times New Roman"/>
              </w:rPr>
            </w:pPr>
            <w:r w:rsidRPr="003C17D3">
              <w:rPr>
                <w:rFonts w:ascii="Arial Black" w:eastAsia="Times New Roman" w:hAnsi="Arial Black" w:cs="Times New Roman"/>
              </w:rPr>
              <w:t xml:space="preserve">145 </w:t>
            </w:r>
          </w:p>
        </w:tc>
        <w:tc>
          <w:tcPr>
            <w:tcW w:w="1868"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right="-108"/>
              <w:jc w:val="center"/>
              <w:rPr>
                <w:rFonts w:ascii="Arial Black" w:eastAsia="Times New Roman" w:hAnsi="Arial Black" w:cs="Times New Roman"/>
              </w:rPr>
            </w:pPr>
            <w:r w:rsidRPr="003C17D3">
              <w:rPr>
                <w:rFonts w:ascii="Arial Black" w:eastAsia="Times New Roman" w:hAnsi="Arial Black" w:cs="Times New Roman"/>
              </w:rPr>
              <w:t xml:space="preserve">170 </w:t>
            </w:r>
          </w:p>
        </w:tc>
        <w:tc>
          <w:tcPr>
            <w:tcW w:w="2322"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210</w:t>
            </w:r>
          </w:p>
        </w:tc>
      </w:tr>
      <w:tr w:rsidR="003E6187" w:rsidRPr="003C17D3" w:rsidTr="00EF09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187" w:rsidRPr="003C17D3" w:rsidRDefault="003E6187" w:rsidP="00EF0943">
            <w:pPr>
              <w:spacing w:after="0" w:line="240" w:lineRule="auto"/>
              <w:rPr>
                <w:rFonts w:ascii="Arial Black" w:eastAsia="Times New Roman" w:hAnsi="Arial Black" w:cs="Times New Roman"/>
              </w:rPr>
            </w:pPr>
          </w:p>
        </w:tc>
        <w:tc>
          <w:tcPr>
            <w:tcW w:w="207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left="42" w:right="-140" w:hanging="42"/>
              <w:rPr>
                <w:rFonts w:ascii="Arial Black" w:eastAsia="Times New Roman" w:hAnsi="Arial Black" w:cs="Times New Roman"/>
              </w:rPr>
            </w:pPr>
            <w:r w:rsidRPr="003C17D3">
              <w:rPr>
                <w:rFonts w:ascii="Arial Black" w:eastAsia="Times New Roman" w:hAnsi="Arial Black" w:cs="Times New Roman"/>
              </w:rPr>
              <w:t>Other varieties</w:t>
            </w:r>
          </w:p>
        </w:tc>
        <w:tc>
          <w:tcPr>
            <w:tcW w:w="153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right="-106"/>
              <w:rPr>
                <w:rFonts w:ascii="Arial Black" w:eastAsia="Times New Roman" w:hAnsi="Arial Black" w:cs="Times New Roman"/>
              </w:rPr>
            </w:pPr>
            <w:r w:rsidRPr="003C17D3">
              <w:rPr>
                <w:rFonts w:ascii="Arial Black" w:eastAsia="Times New Roman" w:hAnsi="Arial Black" w:cs="Times New Roman"/>
              </w:rPr>
              <w:t xml:space="preserve">140 </w:t>
            </w:r>
          </w:p>
        </w:tc>
        <w:tc>
          <w:tcPr>
            <w:tcW w:w="1868"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right="-108"/>
              <w:jc w:val="center"/>
              <w:rPr>
                <w:rFonts w:ascii="Arial Black" w:eastAsia="Times New Roman" w:hAnsi="Arial Black" w:cs="Times New Roman"/>
              </w:rPr>
            </w:pPr>
            <w:r w:rsidRPr="003C17D3">
              <w:rPr>
                <w:rFonts w:ascii="Arial Black" w:eastAsia="Times New Roman" w:hAnsi="Arial Black" w:cs="Times New Roman"/>
              </w:rPr>
              <w:t xml:space="preserve">165 </w:t>
            </w:r>
          </w:p>
        </w:tc>
        <w:tc>
          <w:tcPr>
            <w:tcW w:w="2322"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205</w:t>
            </w:r>
          </w:p>
        </w:tc>
      </w:tr>
      <w:tr w:rsidR="003E6187" w:rsidRPr="003C17D3" w:rsidTr="00EF09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187" w:rsidRPr="003C17D3" w:rsidRDefault="003E6187" w:rsidP="00EF0943">
            <w:pPr>
              <w:spacing w:after="0" w:line="240" w:lineRule="auto"/>
              <w:rPr>
                <w:rFonts w:ascii="Arial Black" w:eastAsia="Times New Roman" w:hAnsi="Arial Black" w:cs="Times New Roman"/>
              </w:rPr>
            </w:pPr>
          </w:p>
        </w:tc>
        <w:tc>
          <w:tcPr>
            <w:tcW w:w="207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left="42" w:right="-140" w:hanging="42"/>
              <w:rPr>
                <w:rFonts w:ascii="Arial Black" w:eastAsia="Times New Roman" w:hAnsi="Arial Black" w:cs="Times New Roman"/>
              </w:rPr>
            </w:pPr>
            <w:r w:rsidRPr="003C17D3">
              <w:rPr>
                <w:rFonts w:ascii="Arial Black" w:eastAsia="Times New Roman" w:hAnsi="Arial Black" w:cs="Times New Roman"/>
              </w:rPr>
              <w:t>Late varieties</w:t>
            </w:r>
          </w:p>
        </w:tc>
        <w:tc>
          <w:tcPr>
            <w:tcW w:w="153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right="-106"/>
              <w:rPr>
                <w:rFonts w:ascii="Arial Black" w:eastAsia="Times New Roman" w:hAnsi="Arial Black" w:cs="Times New Roman"/>
              </w:rPr>
            </w:pPr>
            <w:r w:rsidRPr="003C17D3">
              <w:rPr>
                <w:rFonts w:ascii="Arial Black" w:eastAsia="Times New Roman" w:hAnsi="Arial Black" w:cs="Times New Roman"/>
              </w:rPr>
              <w:t>137.50</w:t>
            </w:r>
          </w:p>
        </w:tc>
        <w:tc>
          <w:tcPr>
            <w:tcW w:w="1868"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right="-108"/>
              <w:jc w:val="center"/>
              <w:rPr>
                <w:rFonts w:ascii="Arial Black" w:eastAsia="Times New Roman" w:hAnsi="Arial Black" w:cs="Times New Roman"/>
              </w:rPr>
            </w:pPr>
            <w:r w:rsidRPr="003C17D3">
              <w:rPr>
                <w:rFonts w:ascii="Arial Black" w:eastAsia="Times New Roman" w:hAnsi="Arial Black" w:cs="Times New Roman"/>
              </w:rPr>
              <w:t>162.50</w:t>
            </w:r>
          </w:p>
        </w:tc>
        <w:tc>
          <w:tcPr>
            <w:tcW w:w="2322"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200</w:t>
            </w:r>
          </w:p>
        </w:tc>
      </w:tr>
      <w:tr w:rsidR="003E6187" w:rsidRPr="003C17D3" w:rsidTr="00EF0943">
        <w:tc>
          <w:tcPr>
            <w:tcW w:w="180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proofErr w:type="spellStart"/>
            <w:r w:rsidRPr="003C17D3">
              <w:rPr>
                <w:rFonts w:ascii="Arial Black" w:eastAsia="Times New Roman" w:hAnsi="Arial Black" w:cs="Times New Roman"/>
              </w:rPr>
              <w:t>Uttrakhand</w:t>
            </w:r>
            <w:proofErr w:type="spellEnd"/>
          </w:p>
        </w:tc>
        <w:tc>
          <w:tcPr>
            <w:tcW w:w="207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left="42" w:right="-140" w:hanging="42"/>
              <w:rPr>
                <w:rFonts w:ascii="Arial Black" w:eastAsia="Times New Roman" w:hAnsi="Arial Black" w:cs="Times New Roman"/>
              </w:rPr>
            </w:pPr>
            <w:r w:rsidRPr="003C17D3">
              <w:rPr>
                <w:rFonts w:ascii="Arial Black" w:eastAsia="Times New Roman" w:hAnsi="Arial Black" w:cs="Times New Roman"/>
              </w:rPr>
              <w:t>Early varieties</w:t>
            </w:r>
          </w:p>
        </w:tc>
        <w:tc>
          <w:tcPr>
            <w:tcW w:w="153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right="-106"/>
              <w:rPr>
                <w:rFonts w:ascii="Arial Black" w:eastAsia="Times New Roman" w:hAnsi="Arial Black" w:cs="Times New Roman"/>
              </w:rPr>
            </w:pPr>
            <w:r w:rsidRPr="003C17D3">
              <w:rPr>
                <w:rFonts w:ascii="Arial Black" w:eastAsia="Times New Roman" w:hAnsi="Arial Black" w:cs="Times New Roman"/>
              </w:rPr>
              <w:t xml:space="preserve">148 </w:t>
            </w:r>
          </w:p>
        </w:tc>
        <w:tc>
          <w:tcPr>
            <w:tcW w:w="1868"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right="-108"/>
              <w:jc w:val="center"/>
              <w:rPr>
                <w:rFonts w:ascii="Arial Black" w:eastAsia="Times New Roman" w:hAnsi="Arial Black" w:cs="Times New Roman"/>
              </w:rPr>
            </w:pPr>
            <w:r w:rsidRPr="003C17D3">
              <w:rPr>
                <w:rFonts w:ascii="Arial Black" w:eastAsia="Times New Roman" w:hAnsi="Arial Black" w:cs="Times New Roman"/>
              </w:rPr>
              <w:t xml:space="preserve">197 </w:t>
            </w:r>
          </w:p>
        </w:tc>
        <w:tc>
          <w:tcPr>
            <w:tcW w:w="2322"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215</w:t>
            </w:r>
          </w:p>
        </w:tc>
      </w:tr>
      <w:tr w:rsidR="003E6187" w:rsidRPr="003C17D3" w:rsidTr="00EF0943">
        <w:tc>
          <w:tcPr>
            <w:tcW w:w="1800" w:type="dxa"/>
            <w:tcBorders>
              <w:top w:val="single" w:sz="4" w:space="0" w:color="auto"/>
              <w:left w:val="single" w:sz="4" w:space="0" w:color="auto"/>
              <w:bottom w:val="single" w:sz="4" w:space="0" w:color="auto"/>
              <w:right w:val="single" w:sz="4" w:space="0" w:color="auto"/>
            </w:tcBorders>
          </w:tcPr>
          <w:p w:rsidR="003E6187" w:rsidRPr="003C17D3" w:rsidRDefault="003E6187" w:rsidP="00EF0943">
            <w:pPr>
              <w:spacing w:after="0"/>
              <w:rPr>
                <w:rFonts w:ascii="Arial Black" w:eastAsia="Times New Roman" w:hAnsi="Arial Black" w:cs="Times New Roman"/>
              </w:rPr>
            </w:pPr>
          </w:p>
        </w:tc>
        <w:tc>
          <w:tcPr>
            <w:tcW w:w="207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left="42" w:right="-140" w:hanging="42"/>
              <w:rPr>
                <w:rFonts w:ascii="Arial Black" w:eastAsia="Times New Roman" w:hAnsi="Arial Black" w:cs="Times New Roman"/>
              </w:rPr>
            </w:pPr>
            <w:r w:rsidRPr="003C17D3">
              <w:rPr>
                <w:rFonts w:ascii="Arial Black" w:eastAsia="Times New Roman" w:hAnsi="Arial Black" w:cs="Times New Roman"/>
              </w:rPr>
              <w:t>Other varieties</w:t>
            </w:r>
          </w:p>
        </w:tc>
        <w:tc>
          <w:tcPr>
            <w:tcW w:w="153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right="-106"/>
              <w:rPr>
                <w:rFonts w:ascii="Arial Black" w:eastAsia="Times New Roman" w:hAnsi="Arial Black" w:cs="Times New Roman"/>
              </w:rPr>
            </w:pPr>
            <w:r w:rsidRPr="003C17D3">
              <w:rPr>
                <w:rFonts w:ascii="Arial Black" w:eastAsia="Times New Roman" w:hAnsi="Arial Black" w:cs="Times New Roman"/>
              </w:rPr>
              <w:t>143</w:t>
            </w:r>
          </w:p>
        </w:tc>
        <w:tc>
          <w:tcPr>
            <w:tcW w:w="1868"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ind w:right="-108"/>
              <w:jc w:val="center"/>
              <w:rPr>
                <w:rFonts w:ascii="Arial Black" w:eastAsia="Times New Roman" w:hAnsi="Arial Black" w:cs="Times New Roman"/>
              </w:rPr>
            </w:pPr>
            <w:r w:rsidRPr="003C17D3">
              <w:rPr>
                <w:rFonts w:ascii="Arial Black" w:eastAsia="Times New Roman" w:hAnsi="Arial Black" w:cs="Times New Roman"/>
              </w:rPr>
              <w:t xml:space="preserve">192 </w:t>
            </w:r>
          </w:p>
        </w:tc>
        <w:tc>
          <w:tcPr>
            <w:tcW w:w="2322"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center"/>
              <w:rPr>
                <w:rFonts w:ascii="Arial Black" w:eastAsia="Times New Roman" w:hAnsi="Arial Black" w:cs="Times New Roman"/>
              </w:rPr>
            </w:pPr>
            <w:r w:rsidRPr="003C17D3">
              <w:rPr>
                <w:rFonts w:ascii="Arial Black" w:eastAsia="Times New Roman" w:hAnsi="Arial Black" w:cs="Times New Roman"/>
              </w:rPr>
              <w:t>210</w:t>
            </w:r>
          </w:p>
        </w:tc>
      </w:tr>
      <w:tr w:rsidR="003E6187" w:rsidRPr="003C17D3" w:rsidTr="00EF0943">
        <w:tc>
          <w:tcPr>
            <w:tcW w:w="180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Tamil Nadu</w:t>
            </w:r>
          </w:p>
        </w:tc>
        <w:tc>
          <w:tcPr>
            <w:tcW w:w="2070" w:type="dxa"/>
            <w:tcBorders>
              <w:top w:val="single" w:sz="4" w:space="0" w:color="auto"/>
              <w:left w:val="single" w:sz="4" w:space="0" w:color="auto"/>
              <w:bottom w:val="single" w:sz="4" w:space="0" w:color="auto"/>
              <w:right w:val="single" w:sz="4" w:space="0" w:color="auto"/>
            </w:tcBorders>
          </w:tcPr>
          <w:p w:rsidR="003E6187" w:rsidRPr="003C17D3" w:rsidRDefault="003E6187" w:rsidP="00EF0943">
            <w:pPr>
              <w:spacing w:after="0"/>
              <w:rPr>
                <w:rFonts w:ascii="Arial Black" w:eastAsia="Times New Roman" w:hAnsi="Arial Black" w:cs="Times New Roman"/>
              </w:rPr>
            </w:pPr>
          </w:p>
        </w:tc>
        <w:tc>
          <w:tcPr>
            <w:tcW w:w="1530"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rPr>
                <w:rFonts w:ascii="Arial Black" w:eastAsia="Times New Roman" w:hAnsi="Arial Black" w:cs="Times New Roman"/>
              </w:rPr>
            </w:pPr>
            <w:r w:rsidRPr="003C17D3">
              <w:rPr>
                <w:rFonts w:ascii="Arial Black" w:eastAsia="Times New Roman" w:hAnsi="Arial Black" w:cs="Times New Roman"/>
              </w:rPr>
              <w:t xml:space="preserve">110 (for 9.0% </w:t>
            </w:r>
            <w:r w:rsidRPr="003C17D3">
              <w:rPr>
                <w:rFonts w:ascii="Arial Black" w:eastAsia="Times New Roman" w:hAnsi="Arial Black" w:cs="Times New Roman"/>
              </w:rPr>
              <w:lastRenderedPageBreak/>
              <w:t>recovery rate)</w:t>
            </w:r>
          </w:p>
        </w:tc>
        <w:tc>
          <w:tcPr>
            <w:tcW w:w="1868"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both"/>
              <w:rPr>
                <w:rFonts w:ascii="Arial Black" w:eastAsia="Times New Roman" w:hAnsi="Arial Black" w:cs="Times New Roman"/>
              </w:rPr>
            </w:pPr>
            <w:r w:rsidRPr="003C17D3">
              <w:rPr>
                <w:rFonts w:ascii="Arial Black" w:eastAsia="Times New Roman" w:hAnsi="Arial Black" w:cs="Times New Roman"/>
              </w:rPr>
              <w:lastRenderedPageBreak/>
              <w:t xml:space="preserve">153.74(for 9.5% </w:t>
            </w:r>
            <w:r w:rsidRPr="003C17D3">
              <w:rPr>
                <w:rFonts w:ascii="Arial Black" w:eastAsia="Times New Roman" w:hAnsi="Arial Black" w:cs="Times New Roman"/>
              </w:rPr>
              <w:lastRenderedPageBreak/>
              <w:t>recovery rate)</w:t>
            </w:r>
          </w:p>
        </w:tc>
        <w:tc>
          <w:tcPr>
            <w:tcW w:w="2322" w:type="dxa"/>
            <w:tcBorders>
              <w:top w:val="single" w:sz="4" w:space="0" w:color="auto"/>
              <w:left w:val="single" w:sz="4" w:space="0" w:color="auto"/>
              <w:bottom w:val="single" w:sz="4" w:space="0" w:color="auto"/>
              <w:right w:val="single" w:sz="4" w:space="0" w:color="auto"/>
            </w:tcBorders>
            <w:hideMark/>
          </w:tcPr>
          <w:p w:rsidR="003E6187" w:rsidRPr="003C17D3" w:rsidRDefault="003E6187" w:rsidP="00EF0943">
            <w:pPr>
              <w:spacing w:after="0"/>
              <w:jc w:val="both"/>
              <w:rPr>
                <w:rFonts w:ascii="Arial Black" w:eastAsia="Times New Roman" w:hAnsi="Arial Black" w:cs="Times New Roman"/>
              </w:rPr>
            </w:pPr>
            <w:r w:rsidRPr="003C17D3">
              <w:rPr>
                <w:rFonts w:ascii="Arial Black" w:eastAsia="Times New Roman" w:hAnsi="Arial Black" w:cs="Times New Roman"/>
              </w:rPr>
              <w:lastRenderedPageBreak/>
              <w:t>190 (for 9.5% recovery rate )</w:t>
            </w:r>
          </w:p>
        </w:tc>
      </w:tr>
    </w:tbl>
    <w:p w:rsidR="003E6187" w:rsidRDefault="003E6187" w:rsidP="003E6187"/>
    <w:p w:rsidR="005B78DA" w:rsidRDefault="005B78DA"/>
    <w:sectPr w:rsidR="005B78DA" w:rsidSect="005B78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187"/>
    <w:rsid w:val="003E6187"/>
    <w:rsid w:val="005B7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PARSHWATI</dc:creator>
  <cp:keywords/>
  <dc:description/>
  <cp:lastModifiedBy>PARSHWATI</cp:lastModifiedBy>
  <cp:revision>1</cp:revision>
  <dcterms:created xsi:type="dcterms:W3CDTF">2012-08-24T10:21:00Z</dcterms:created>
  <dcterms:modified xsi:type="dcterms:W3CDTF">2012-08-24T10:22:00Z</dcterms:modified>
</cp:coreProperties>
</file>