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4A0"/>
      </w:tblPr>
      <w:tblGrid>
        <w:gridCol w:w="8033"/>
      </w:tblGrid>
      <w:tr w:rsidR="008A193B" w:rsidRPr="003C17D3" w:rsidTr="00EF0943">
        <w:trPr>
          <w:trHeight w:val="270"/>
          <w:tblCellSpacing w:w="15" w:type="dxa"/>
          <w:jc w:val="center"/>
        </w:trPr>
        <w:tc>
          <w:tcPr>
            <w:tcW w:w="0" w:type="auto"/>
            <w:vAlign w:val="center"/>
            <w:hideMark/>
          </w:tcPr>
          <w:p w:rsidR="008A193B" w:rsidRPr="008A193B" w:rsidRDefault="008A193B" w:rsidP="008A193B">
            <w:pPr>
              <w:spacing w:after="0" w:line="240" w:lineRule="auto"/>
              <w:rPr>
                <w:rFonts w:ascii="Verdana" w:eastAsia="Times New Roman" w:hAnsi="Verdana" w:cs="Arial"/>
                <w:b/>
                <w:bCs/>
                <w:color w:val="4F81BD" w:themeColor="accent1"/>
                <w:sz w:val="18"/>
                <w:szCs w:val="18"/>
              </w:rPr>
            </w:pPr>
            <w:r w:rsidRPr="008A193B">
              <w:rPr>
                <w:rFonts w:ascii="Verdana" w:eastAsia="Times New Roman" w:hAnsi="Verdana" w:cs="Arial"/>
                <w:b/>
                <w:bCs/>
                <w:color w:val="4F81BD" w:themeColor="accent1"/>
                <w:sz w:val="18"/>
              </w:rPr>
              <w:t>LEVY SUGAR</w:t>
            </w:r>
          </w:p>
          <w:p w:rsidR="008A193B" w:rsidRPr="003C17D3" w:rsidRDefault="008A193B" w:rsidP="00EF0943">
            <w:pPr>
              <w:spacing w:after="0" w:line="240" w:lineRule="auto"/>
              <w:jc w:val="center"/>
              <w:rPr>
                <w:rFonts w:ascii="Verdana" w:eastAsia="Times New Roman" w:hAnsi="Verdana" w:cs="Arial"/>
                <w:b/>
                <w:bCs/>
                <w:sz w:val="18"/>
                <w:szCs w:val="18"/>
              </w:rPr>
            </w:pPr>
          </w:p>
        </w:tc>
      </w:tr>
    </w:tbl>
    <w:p w:rsidR="008A193B" w:rsidRPr="003C17D3" w:rsidRDefault="008A193B" w:rsidP="008A193B">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3990"/>
        <w:gridCol w:w="4043"/>
      </w:tblGrid>
      <w:tr w:rsidR="008A193B" w:rsidRPr="003C17D3" w:rsidTr="00EF0943">
        <w:trPr>
          <w:trHeight w:val="255"/>
          <w:tblCellSpacing w:w="15" w:type="dxa"/>
          <w:jc w:val="center"/>
        </w:trPr>
        <w:tc>
          <w:tcPr>
            <w:tcW w:w="3945" w:type="dxa"/>
            <w:vAlign w:val="center"/>
            <w:hideMark/>
          </w:tcPr>
          <w:p w:rsidR="008A193B" w:rsidRPr="003C17D3" w:rsidRDefault="008A193B" w:rsidP="00EF094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MINISTRY OF  </w:t>
            </w:r>
          </w:p>
        </w:tc>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r>
    </w:tbl>
    <w:p w:rsidR="008A193B" w:rsidRPr="003C17D3" w:rsidRDefault="008A193B" w:rsidP="008A193B">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8033"/>
      </w:tblGrid>
      <w:tr w:rsidR="008A193B" w:rsidRPr="003C17D3" w:rsidTr="00EF0943">
        <w:trPr>
          <w:trHeight w:val="270"/>
          <w:tblCellSpacing w:w="15" w:type="dxa"/>
          <w:jc w:val="center"/>
        </w:trPr>
        <w:tc>
          <w:tcPr>
            <w:tcW w:w="0" w:type="auto"/>
            <w:vAlign w:val="center"/>
            <w:hideMark/>
          </w:tcPr>
          <w:p w:rsidR="008A193B" w:rsidRPr="003C17D3" w:rsidRDefault="008A193B" w:rsidP="00EF0943">
            <w:pPr>
              <w:spacing w:after="0" w:line="240" w:lineRule="auto"/>
              <w:jc w:val="center"/>
              <w:rPr>
                <w:rFonts w:ascii="Verdana" w:eastAsia="Times New Roman" w:hAnsi="Verdana" w:cs="Arial"/>
                <w:b/>
                <w:bCs/>
                <w:sz w:val="18"/>
                <w:szCs w:val="18"/>
              </w:rPr>
            </w:pPr>
            <w:r w:rsidRPr="003C17D3">
              <w:rPr>
                <w:rFonts w:ascii="Verdana" w:eastAsia="Times New Roman" w:hAnsi="Verdana" w:cs="Arial"/>
                <w:b/>
                <w:bCs/>
                <w:sz w:val="18"/>
                <w:szCs w:val="18"/>
              </w:rPr>
              <w:t>LOK SABHA</w:t>
            </w:r>
          </w:p>
        </w:tc>
      </w:tr>
    </w:tbl>
    <w:p w:rsidR="008A193B" w:rsidRPr="003C17D3" w:rsidRDefault="008A193B" w:rsidP="008A193B">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40"/>
        <w:gridCol w:w="1755"/>
        <w:gridCol w:w="2138"/>
      </w:tblGrid>
      <w:tr w:rsidR="008A193B" w:rsidRPr="003C17D3" w:rsidTr="00EF0943">
        <w:trPr>
          <w:trHeight w:val="270"/>
          <w:tblCellSpacing w:w="15" w:type="dxa"/>
          <w:jc w:val="center"/>
        </w:trPr>
        <w:tc>
          <w:tcPr>
            <w:tcW w:w="4095" w:type="dxa"/>
            <w:vAlign w:val="center"/>
            <w:hideMark/>
          </w:tcPr>
          <w:p w:rsidR="008A193B" w:rsidRPr="003C17D3" w:rsidRDefault="008A193B" w:rsidP="00EF0943">
            <w:pPr>
              <w:spacing w:after="0" w:line="240" w:lineRule="auto"/>
              <w:jc w:val="right"/>
              <w:rPr>
                <w:rFonts w:ascii="Arial" w:eastAsia="Times New Roman" w:hAnsi="Arial" w:cs="Arial"/>
                <w:sz w:val="18"/>
                <w:szCs w:val="18"/>
              </w:rPr>
            </w:pPr>
            <w:r w:rsidRPr="003C17D3">
              <w:rPr>
                <w:rFonts w:ascii="Verdana" w:eastAsia="Times New Roman" w:hAnsi="Verdana" w:cs="Arial"/>
                <w:b/>
                <w:bCs/>
                <w:sz w:val="18"/>
              </w:rPr>
              <w:t xml:space="preserve">UNSTARRED </w:t>
            </w:r>
          </w:p>
        </w:tc>
        <w:tc>
          <w:tcPr>
            <w:tcW w:w="1725" w:type="dxa"/>
            <w:vAlign w:val="center"/>
            <w:hideMark/>
          </w:tcPr>
          <w:p w:rsidR="008A193B" w:rsidRPr="003C17D3" w:rsidRDefault="008A193B"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QUESTION NO</w:t>
            </w:r>
          </w:p>
        </w:tc>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1428</w:t>
            </w:r>
          </w:p>
        </w:tc>
      </w:tr>
    </w:tbl>
    <w:p w:rsidR="008A193B" w:rsidRPr="003C17D3" w:rsidRDefault="008A193B" w:rsidP="008A193B">
      <w:pPr>
        <w:spacing w:after="0" w:line="240" w:lineRule="auto"/>
        <w:rPr>
          <w:rFonts w:ascii="Arial" w:eastAsia="Times New Roman" w:hAnsi="Arial" w:cs="Arial"/>
          <w:vanish/>
          <w:sz w:val="18"/>
          <w:szCs w:val="18"/>
        </w:rPr>
      </w:pPr>
    </w:p>
    <w:tbl>
      <w:tblPr>
        <w:tblW w:w="4250" w:type="pct"/>
        <w:jc w:val="center"/>
        <w:tblCellSpacing w:w="15" w:type="dxa"/>
        <w:tblCellMar>
          <w:top w:w="15" w:type="dxa"/>
          <w:left w:w="15" w:type="dxa"/>
          <w:bottom w:w="15" w:type="dxa"/>
          <w:right w:w="15" w:type="dxa"/>
        </w:tblCellMar>
        <w:tblLook w:val="04A0"/>
      </w:tblPr>
      <w:tblGrid>
        <w:gridCol w:w="4155"/>
        <w:gridCol w:w="3878"/>
      </w:tblGrid>
      <w:tr w:rsidR="008A193B" w:rsidRPr="003C17D3" w:rsidTr="00EF0943">
        <w:trPr>
          <w:trHeight w:val="270"/>
          <w:tblCellSpacing w:w="15" w:type="dxa"/>
          <w:jc w:val="center"/>
        </w:trPr>
        <w:tc>
          <w:tcPr>
            <w:tcW w:w="4110" w:type="dxa"/>
            <w:vAlign w:val="center"/>
            <w:hideMark/>
          </w:tcPr>
          <w:p w:rsidR="008A193B" w:rsidRPr="003C17D3" w:rsidRDefault="008A193B" w:rsidP="00EF0943">
            <w:pPr>
              <w:spacing w:after="0" w:line="240" w:lineRule="auto"/>
              <w:jc w:val="right"/>
              <w:rPr>
                <w:rFonts w:ascii="Verdana" w:eastAsia="Times New Roman" w:hAnsi="Verdana" w:cs="Arial"/>
                <w:b/>
                <w:bCs/>
                <w:sz w:val="18"/>
                <w:szCs w:val="18"/>
              </w:rPr>
            </w:pPr>
            <w:r w:rsidRPr="003C17D3">
              <w:rPr>
                <w:rFonts w:ascii="Verdana" w:eastAsia="Times New Roman" w:hAnsi="Verdana" w:cs="Arial"/>
                <w:b/>
                <w:bCs/>
                <w:sz w:val="18"/>
                <w:szCs w:val="18"/>
              </w:rPr>
              <w:t xml:space="preserve">ANSWERED ON   </w:t>
            </w:r>
          </w:p>
        </w:tc>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21.08.2012</w:t>
            </w:r>
          </w:p>
        </w:tc>
      </w:tr>
    </w:tbl>
    <w:p w:rsidR="008A193B" w:rsidRPr="003C17D3" w:rsidRDefault="008A193B" w:rsidP="008A193B">
      <w:pPr>
        <w:spacing w:after="0" w:line="240" w:lineRule="auto"/>
        <w:rPr>
          <w:rFonts w:ascii="Arial" w:eastAsia="Times New Roman" w:hAnsi="Arial" w:cs="Arial"/>
          <w:vanish/>
          <w:sz w:val="18"/>
          <w:szCs w:val="18"/>
        </w:rPr>
      </w:pPr>
    </w:p>
    <w:tbl>
      <w:tblPr>
        <w:tblW w:w="3500" w:type="pct"/>
        <w:jc w:val="center"/>
        <w:tblCellSpacing w:w="15" w:type="dxa"/>
        <w:tblCellMar>
          <w:top w:w="15" w:type="dxa"/>
          <w:left w:w="15" w:type="dxa"/>
          <w:bottom w:w="15" w:type="dxa"/>
          <w:right w:w="15" w:type="dxa"/>
        </w:tblCellMar>
        <w:tblLook w:val="04A0"/>
      </w:tblPr>
      <w:tblGrid>
        <w:gridCol w:w="6615"/>
      </w:tblGrid>
      <w:tr w:rsidR="008A193B" w:rsidRPr="003C17D3" w:rsidTr="00EF0943">
        <w:trPr>
          <w:trHeight w:val="270"/>
          <w:tblCellSpacing w:w="15" w:type="dxa"/>
          <w:jc w:val="center"/>
        </w:trPr>
        <w:tc>
          <w:tcPr>
            <w:tcW w:w="10665" w:type="dxa"/>
            <w:vAlign w:val="center"/>
            <w:hideMark/>
          </w:tcPr>
          <w:p w:rsidR="008A193B" w:rsidRPr="003C17D3" w:rsidRDefault="008A193B" w:rsidP="00EF0943">
            <w:pPr>
              <w:spacing w:after="0" w:line="240" w:lineRule="auto"/>
              <w:jc w:val="center"/>
              <w:rPr>
                <w:rFonts w:ascii="Arial" w:eastAsia="Times New Roman" w:hAnsi="Arial" w:cs="Arial"/>
                <w:sz w:val="18"/>
                <w:szCs w:val="18"/>
              </w:rPr>
            </w:pPr>
            <w:r w:rsidRPr="003C17D3">
              <w:rPr>
                <w:rFonts w:ascii="Verdana" w:eastAsia="Times New Roman" w:hAnsi="Verdana" w:cs="Arial"/>
                <w:b/>
                <w:bCs/>
                <w:sz w:val="18"/>
              </w:rPr>
              <w:t>LEVY SUGAR</w:t>
            </w:r>
          </w:p>
        </w:tc>
      </w:tr>
    </w:tbl>
    <w:p w:rsidR="008A193B" w:rsidRPr="003C17D3" w:rsidRDefault="008A193B" w:rsidP="008A193B">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615"/>
        <w:gridCol w:w="7890"/>
      </w:tblGrid>
      <w:tr w:rsidR="008A193B" w:rsidRPr="003C17D3" w:rsidTr="00EF0943">
        <w:trPr>
          <w:trHeight w:val="270"/>
          <w:tblCellSpacing w:w="15" w:type="dxa"/>
          <w:jc w:val="center"/>
        </w:trPr>
        <w:tc>
          <w:tcPr>
            <w:tcW w:w="570" w:type="dxa"/>
            <w:vAlign w:val="center"/>
            <w:hideMark/>
          </w:tcPr>
          <w:p w:rsidR="008A193B" w:rsidRPr="003C17D3" w:rsidRDefault="008A193B" w:rsidP="00EF0943">
            <w:pPr>
              <w:spacing w:after="0" w:line="240" w:lineRule="auto"/>
              <w:rPr>
                <w:rFonts w:ascii="Arial" w:eastAsia="Times New Roman" w:hAnsi="Arial" w:cs="Arial"/>
                <w:sz w:val="18"/>
                <w:szCs w:val="18"/>
              </w:rPr>
            </w:pPr>
            <w:proofErr w:type="gramStart"/>
            <w:r w:rsidRPr="003C17D3">
              <w:rPr>
                <w:rFonts w:ascii="Verdana" w:eastAsia="Times New Roman" w:hAnsi="Verdana" w:cs="Arial"/>
                <w:b/>
                <w:bCs/>
                <w:sz w:val="18"/>
              </w:rPr>
              <w:t>1428 .</w:t>
            </w:r>
            <w:proofErr w:type="gramEnd"/>
          </w:p>
        </w:tc>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proofErr w:type="spellStart"/>
            <w:r w:rsidRPr="003C17D3">
              <w:rPr>
                <w:rFonts w:ascii="Verdana" w:eastAsia="Times New Roman" w:hAnsi="Verdana" w:cs="Arial"/>
                <w:b/>
                <w:bCs/>
                <w:sz w:val="18"/>
              </w:rPr>
              <w:t>Shri</w:t>
            </w:r>
            <w:proofErr w:type="spellEnd"/>
            <w:r w:rsidRPr="003C17D3">
              <w:rPr>
                <w:rFonts w:ascii="Verdana" w:eastAsia="Times New Roman" w:hAnsi="Verdana" w:cs="Arial"/>
                <w:b/>
                <w:bCs/>
                <w:sz w:val="18"/>
              </w:rPr>
              <w:t xml:space="preserve"> TARACHAND BHAGORA</w:t>
            </w:r>
          </w:p>
        </w:tc>
      </w:tr>
    </w:tbl>
    <w:p w:rsidR="008A193B" w:rsidRPr="003C17D3" w:rsidRDefault="008A193B" w:rsidP="008A193B">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4252"/>
        <w:gridCol w:w="4253"/>
      </w:tblGrid>
      <w:tr w:rsidR="008A193B" w:rsidRPr="003C17D3" w:rsidTr="00EF0943">
        <w:trPr>
          <w:trHeight w:val="870"/>
          <w:tblCellSpacing w:w="15" w:type="dxa"/>
          <w:jc w:val="center"/>
        </w:trPr>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p>
        </w:tc>
        <w:tc>
          <w:tcPr>
            <w:tcW w:w="0" w:type="auto"/>
            <w:vAlign w:val="center"/>
            <w:hideMark/>
          </w:tcPr>
          <w:p w:rsidR="008A193B" w:rsidRPr="003C17D3" w:rsidRDefault="008A193B" w:rsidP="00EF0943">
            <w:pPr>
              <w:spacing w:after="0" w:line="240" w:lineRule="auto"/>
              <w:rPr>
                <w:rFonts w:ascii="Arial" w:eastAsia="Times New Roman" w:hAnsi="Arial" w:cs="Arial"/>
                <w:sz w:val="18"/>
                <w:szCs w:val="18"/>
              </w:rPr>
            </w:pPr>
          </w:p>
        </w:tc>
      </w:tr>
    </w:tbl>
    <w:p w:rsidR="008A193B" w:rsidRPr="003C17D3" w:rsidRDefault="008A193B" w:rsidP="008A193B">
      <w:pPr>
        <w:spacing w:after="0" w:line="240" w:lineRule="auto"/>
        <w:rPr>
          <w:rFonts w:ascii="Arial" w:eastAsia="Times New Roman" w:hAnsi="Arial" w:cs="Arial"/>
          <w:vanish/>
          <w:sz w:val="18"/>
          <w:szCs w:val="18"/>
        </w:rPr>
      </w:pPr>
    </w:p>
    <w:tbl>
      <w:tblPr>
        <w:tblW w:w="4500" w:type="pct"/>
        <w:jc w:val="center"/>
        <w:tblCellSpacing w:w="15" w:type="dxa"/>
        <w:tblCellMar>
          <w:top w:w="15" w:type="dxa"/>
          <w:left w:w="15" w:type="dxa"/>
          <w:bottom w:w="15" w:type="dxa"/>
          <w:right w:w="15" w:type="dxa"/>
        </w:tblCellMar>
        <w:tblLook w:val="04A0"/>
      </w:tblPr>
      <w:tblGrid>
        <w:gridCol w:w="1965"/>
        <w:gridCol w:w="2430"/>
        <w:gridCol w:w="4110"/>
      </w:tblGrid>
      <w:tr w:rsidR="008A193B" w:rsidRPr="003C17D3" w:rsidTr="00EF0943">
        <w:trPr>
          <w:tblCellSpacing w:w="15" w:type="dxa"/>
          <w:jc w:val="center"/>
        </w:trPr>
        <w:tc>
          <w:tcPr>
            <w:tcW w:w="1920" w:type="dxa"/>
            <w:vAlign w:val="center"/>
            <w:hideMark/>
          </w:tcPr>
          <w:p w:rsidR="008A193B" w:rsidRPr="003C17D3" w:rsidRDefault="008A193B"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Will the Minister of</w:t>
            </w:r>
          </w:p>
        </w:tc>
        <w:tc>
          <w:tcPr>
            <w:tcW w:w="2400" w:type="dxa"/>
            <w:vAlign w:val="center"/>
            <w:hideMark/>
          </w:tcPr>
          <w:p w:rsidR="008A193B" w:rsidRPr="003C17D3" w:rsidRDefault="008A193B" w:rsidP="00EF0943">
            <w:pPr>
              <w:spacing w:after="0" w:line="240" w:lineRule="auto"/>
              <w:rPr>
                <w:rFonts w:ascii="Arial" w:eastAsia="Times New Roman" w:hAnsi="Arial" w:cs="Arial"/>
                <w:sz w:val="18"/>
                <w:szCs w:val="18"/>
              </w:rPr>
            </w:pPr>
            <w:r w:rsidRPr="003C17D3">
              <w:rPr>
                <w:rFonts w:ascii="Verdana" w:eastAsia="Times New Roman" w:hAnsi="Verdana" w:cs="Arial"/>
                <w:b/>
                <w:bCs/>
                <w:sz w:val="18"/>
              </w:rPr>
              <w:t>CONSUMER AFFAIRS, FOOD AND PUBLIC DISTRIBUTION</w:t>
            </w:r>
          </w:p>
        </w:tc>
        <w:tc>
          <w:tcPr>
            <w:tcW w:w="0" w:type="auto"/>
            <w:vAlign w:val="center"/>
            <w:hideMark/>
          </w:tcPr>
          <w:p w:rsidR="008A193B" w:rsidRPr="003C17D3" w:rsidRDefault="008A193B"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t>be pleased to state:-</w:t>
            </w:r>
          </w:p>
        </w:tc>
      </w:tr>
    </w:tbl>
    <w:p w:rsidR="008A193B" w:rsidRPr="003C17D3" w:rsidRDefault="008A193B" w:rsidP="008A193B">
      <w:pPr>
        <w:spacing w:after="0" w:line="240" w:lineRule="auto"/>
        <w:rPr>
          <w:rFonts w:ascii="Arial" w:eastAsia="Times New Roman" w:hAnsi="Arial" w:cs="Arial"/>
          <w:vanish/>
          <w:sz w:val="18"/>
          <w:szCs w:val="18"/>
        </w:rPr>
      </w:pPr>
    </w:p>
    <w:tbl>
      <w:tblPr>
        <w:tblW w:w="5000" w:type="pct"/>
        <w:jc w:val="center"/>
        <w:tblCellSpacing w:w="15" w:type="dxa"/>
        <w:tblCellMar>
          <w:top w:w="15" w:type="dxa"/>
          <w:left w:w="15" w:type="dxa"/>
          <w:bottom w:w="15" w:type="dxa"/>
          <w:right w:w="15" w:type="dxa"/>
        </w:tblCellMar>
        <w:tblLook w:val="04A0"/>
      </w:tblPr>
      <w:tblGrid>
        <w:gridCol w:w="9450"/>
      </w:tblGrid>
      <w:tr w:rsidR="008A193B" w:rsidRPr="003C17D3" w:rsidTr="00EF0943">
        <w:trPr>
          <w:trHeight w:val="4455"/>
          <w:tblCellSpacing w:w="15" w:type="dxa"/>
          <w:jc w:val="center"/>
        </w:trPr>
        <w:tc>
          <w:tcPr>
            <w:tcW w:w="0" w:type="auto"/>
            <w:vAlign w:val="center"/>
            <w:hideMark/>
          </w:tcPr>
          <w:tbl>
            <w:tblPr>
              <w:tblW w:w="9945" w:type="dxa"/>
              <w:tblCellMar>
                <w:top w:w="15" w:type="dxa"/>
                <w:left w:w="15" w:type="dxa"/>
                <w:bottom w:w="15" w:type="dxa"/>
                <w:right w:w="15" w:type="dxa"/>
              </w:tblCellMar>
              <w:tblLook w:val="04A0"/>
            </w:tblPr>
            <w:tblGrid>
              <w:gridCol w:w="9945"/>
            </w:tblGrid>
            <w:tr w:rsidR="008A193B" w:rsidRPr="003C17D3" w:rsidTr="00EF0943">
              <w:tc>
                <w:tcPr>
                  <w:tcW w:w="0" w:type="auto"/>
                  <w:vAlign w:val="center"/>
                  <w:hideMark/>
                </w:tcPr>
                <w:tbl>
                  <w:tblPr>
                    <w:tblW w:w="0" w:type="auto"/>
                    <w:tblCellSpacing w:w="15" w:type="dxa"/>
                    <w:tblCellMar>
                      <w:top w:w="15" w:type="dxa"/>
                      <w:left w:w="15" w:type="dxa"/>
                      <w:bottom w:w="15" w:type="dxa"/>
                      <w:right w:w="15" w:type="dxa"/>
                    </w:tblCellMar>
                    <w:tblLook w:val="04A0"/>
                  </w:tblPr>
                  <w:tblGrid>
                    <w:gridCol w:w="9915"/>
                  </w:tblGrid>
                  <w:tr w:rsidR="008A193B" w:rsidRPr="003C17D3" w:rsidTr="00EF0943">
                    <w:trPr>
                      <w:tblCellSpacing w:w="15" w:type="dxa"/>
                    </w:trPr>
                    <w:tc>
                      <w:tcPr>
                        <w:tcW w:w="0" w:type="auto"/>
                        <w:vAlign w:val="center"/>
                        <w:hideMark/>
                      </w:tcPr>
                      <w:p w:rsidR="008A193B" w:rsidRPr="003C17D3" w:rsidRDefault="008A193B"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whether the matter of revision of levy sugar margins of Rajasthan is still pending even though the State Government has submitted the requisite year-wise comprehensive proposals;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(b) if so, whether the delay in </w:t>
                        </w:r>
                        <w:proofErr w:type="spellStart"/>
                        <w:r w:rsidRPr="003C17D3">
                          <w:rPr>
                            <w:rFonts w:ascii="Verdana" w:eastAsia="Times New Roman" w:hAnsi="Verdana" w:cs="Arial"/>
                            <w:b/>
                            <w:bCs/>
                            <w:sz w:val="18"/>
                            <w:szCs w:val="18"/>
                          </w:rPr>
                          <w:t>takingthe</w:t>
                        </w:r>
                        <w:proofErr w:type="spellEnd"/>
                        <w:r w:rsidRPr="003C17D3">
                          <w:rPr>
                            <w:rFonts w:ascii="Verdana" w:eastAsia="Times New Roman" w:hAnsi="Verdana" w:cs="Arial"/>
                            <w:b/>
                            <w:bCs/>
                            <w:sz w:val="18"/>
                            <w:szCs w:val="18"/>
                          </w:rPr>
                          <w:t xml:space="preserve"> decision has led to acute financial crisis for the co-operative institutions of Rajasthan handling levy sugar;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(c) if so, the details thereof and the remedial steps taken in this regard;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(d) whether the Food Corporation of India (FCI) has withheld the Levy Sugar Price </w:t>
                        </w:r>
                        <w:proofErr w:type="spellStart"/>
                        <w:r w:rsidRPr="003C17D3">
                          <w:rPr>
                            <w:rFonts w:ascii="Verdana" w:eastAsia="Times New Roman" w:hAnsi="Verdana" w:cs="Arial"/>
                            <w:b/>
                            <w:bCs/>
                            <w:sz w:val="18"/>
                            <w:szCs w:val="18"/>
                          </w:rPr>
                          <w:t>Equilisation</w:t>
                        </w:r>
                        <w:proofErr w:type="spellEnd"/>
                        <w:r w:rsidRPr="003C17D3">
                          <w:rPr>
                            <w:rFonts w:ascii="Verdana" w:eastAsia="Times New Roman" w:hAnsi="Verdana" w:cs="Arial"/>
                            <w:b/>
                            <w:bCs/>
                            <w:sz w:val="18"/>
                            <w:szCs w:val="18"/>
                          </w:rPr>
                          <w:t xml:space="preserve"> Fund claims related to transport charges and commission on the grounds that the Department of Food has not revised levy sugar margin for 2010-11; and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(e) if so, the details thereof and the remedial steps taken/proposed to be taken in this regard? </w:t>
                        </w:r>
                      </w:p>
                    </w:tc>
                  </w:tr>
                </w:tbl>
                <w:p w:rsidR="008A193B" w:rsidRPr="003C17D3" w:rsidRDefault="008A193B" w:rsidP="00EF0943">
                  <w:pPr>
                    <w:spacing w:after="0" w:line="240" w:lineRule="auto"/>
                    <w:rPr>
                      <w:rFonts w:ascii="Arial" w:eastAsia="Times New Roman" w:hAnsi="Arial" w:cs="Arial"/>
                      <w:vanish/>
                      <w:sz w:val="18"/>
                      <w:szCs w:val="18"/>
                    </w:rPr>
                  </w:pPr>
                </w:p>
                <w:tbl>
                  <w:tblPr>
                    <w:tblW w:w="0" w:type="auto"/>
                    <w:jc w:val="center"/>
                    <w:tblCellSpacing w:w="15" w:type="dxa"/>
                    <w:tblCellMar>
                      <w:top w:w="15" w:type="dxa"/>
                      <w:left w:w="15" w:type="dxa"/>
                      <w:bottom w:w="15" w:type="dxa"/>
                      <w:right w:w="15" w:type="dxa"/>
                    </w:tblCellMar>
                    <w:tblLook w:val="04A0"/>
                  </w:tblPr>
                  <w:tblGrid>
                    <w:gridCol w:w="9915"/>
                  </w:tblGrid>
                  <w:tr w:rsidR="008A193B" w:rsidRPr="003C17D3" w:rsidTr="00EF0943">
                    <w:trPr>
                      <w:tblCellSpacing w:w="15" w:type="dxa"/>
                      <w:jc w:val="center"/>
                    </w:trPr>
                    <w:tc>
                      <w:tcPr>
                        <w:tcW w:w="0" w:type="auto"/>
                        <w:vAlign w:val="center"/>
                        <w:hideMark/>
                      </w:tcPr>
                      <w:p w:rsidR="008A193B" w:rsidRPr="003C17D3" w:rsidRDefault="008A193B" w:rsidP="00EF0943">
                        <w:pPr>
                          <w:spacing w:after="0" w:line="240" w:lineRule="auto"/>
                          <w:jc w:val="center"/>
                          <w:rPr>
                            <w:rFonts w:ascii="Verdana" w:eastAsia="Times New Roman" w:hAnsi="Verdana" w:cs="Arial"/>
                            <w:b/>
                            <w:bCs/>
                            <w:sz w:val="21"/>
                            <w:szCs w:val="21"/>
                          </w:rPr>
                        </w:pPr>
                        <w:r w:rsidRPr="003C17D3">
                          <w:rPr>
                            <w:rFonts w:ascii="Verdana" w:eastAsia="Times New Roman" w:hAnsi="Verdana" w:cs="Arial"/>
                            <w:b/>
                            <w:bCs/>
                            <w:sz w:val="21"/>
                            <w:szCs w:val="21"/>
                          </w:rPr>
                          <w:t>ANSWER</w:t>
                        </w:r>
                      </w:p>
                    </w:tc>
                  </w:tr>
                  <w:tr w:rsidR="008A193B" w:rsidRPr="003C17D3" w:rsidTr="00EF0943">
                    <w:trPr>
                      <w:tblCellSpacing w:w="15" w:type="dxa"/>
                      <w:jc w:val="center"/>
                    </w:trPr>
                    <w:tc>
                      <w:tcPr>
                        <w:tcW w:w="0" w:type="auto"/>
                        <w:vAlign w:val="center"/>
                        <w:hideMark/>
                      </w:tcPr>
                      <w:p w:rsidR="008A193B" w:rsidRPr="003C17D3" w:rsidRDefault="008A193B" w:rsidP="00EF0943">
                        <w:pPr>
                          <w:spacing w:after="0" w:line="240" w:lineRule="auto"/>
                          <w:rPr>
                            <w:rFonts w:ascii="Verdana" w:eastAsia="Times New Roman" w:hAnsi="Verdana" w:cs="Arial"/>
                            <w:b/>
                            <w:bCs/>
                            <w:sz w:val="18"/>
                            <w:szCs w:val="18"/>
                          </w:rPr>
                        </w:pPr>
                        <w:r w:rsidRPr="003C17D3">
                          <w:rPr>
                            <w:rFonts w:ascii="Verdana" w:eastAsia="Times New Roman" w:hAnsi="Verdana" w:cs="Arial"/>
                            <w:b/>
                            <w:bCs/>
                            <w:sz w:val="18"/>
                            <w:szCs w:val="18"/>
                          </w:rPr>
                          <w:br/>
                          <w:t xml:space="preserve">MINISTER OF STATE (INDEPENDENT CHARGE) FOR CONSUMER AFFAIRS, FOOD &amp; PUBLIC DISTRIBUTION (PROF. K.V. THOMAS)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(a), (b) &amp; (c) The Government of Rajasthan has submitted the proposals for revision of the levy sugar margins for the years 1999-2000 to 2010-11. In respect of the margin proposals for the years 1999-2000 to 2006-07, certain supportive documents from the State Government have not been received. As regards, proposals for revision of the levy sugar margins for the years 2007-08 to 2010-11, the Central Government, as an interim measures, on </w:t>
                        </w:r>
                        <w:proofErr w:type="spellStart"/>
                        <w:r w:rsidRPr="003C17D3">
                          <w:rPr>
                            <w:rFonts w:ascii="Verdana" w:eastAsia="Times New Roman" w:hAnsi="Verdana" w:cs="Arial"/>
                            <w:b/>
                            <w:bCs/>
                            <w:sz w:val="18"/>
                            <w:szCs w:val="18"/>
                          </w:rPr>
                          <w:t>adhoc</w:t>
                        </w:r>
                        <w:proofErr w:type="spellEnd"/>
                        <w:r w:rsidRPr="003C17D3">
                          <w:rPr>
                            <w:rFonts w:ascii="Verdana" w:eastAsia="Times New Roman" w:hAnsi="Verdana" w:cs="Arial"/>
                            <w:b/>
                            <w:bCs/>
                            <w:sz w:val="18"/>
                            <w:szCs w:val="18"/>
                          </w:rPr>
                          <w:t xml:space="preserve"> basis, has allowed 85% of the transportation charges claimed by the State Government, the major component of the wholesaler’s margins for the years 2007-08 to 2009-10 and the same have already been released by FCI on 06.07.2011 for these years. </w:t>
                        </w:r>
                        <w:r w:rsidRPr="003C17D3">
                          <w:rPr>
                            <w:rFonts w:ascii="Verdana" w:eastAsia="Times New Roman" w:hAnsi="Verdana" w:cs="Arial"/>
                            <w:b/>
                            <w:bCs/>
                            <w:sz w:val="18"/>
                            <w:szCs w:val="18"/>
                          </w:rPr>
                          <w:br/>
                        </w:r>
                        <w:r w:rsidRPr="003C17D3">
                          <w:rPr>
                            <w:rFonts w:ascii="Verdana" w:eastAsia="Times New Roman" w:hAnsi="Verdana" w:cs="Arial"/>
                            <w:b/>
                            <w:bCs/>
                            <w:sz w:val="18"/>
                            <w:szCs w:val="18"/>
                          </w:rPr>
                          <w:br/>
                          <w:t xml:space="preserve">(d) &amp; (e): The Government of Rajasthan vide letter dated 19th June, 2012 had intimated that the FCI, </w:t>
                        </w:r>
                        <w:proofErr w:type="spellStart"/>
                        <w:r w:rsidRPr="003C17D3">
                          <w:rPr>
                            <w:rFonts w:ascii="Verdana" w:eastAsia="Times New Roman" w:hAnsi="Verdana" w:cs="Arial"/>
                            <w:b/>
                            <w:bCs/>
                            <w:sz w:val="18"/>
                            <w:szCs w:val="18"/>
                          </w:rPr>
                          <w:t>Jaipur</w:t>
                        </w:r>
                        <w:proofErr w:type="spellEnd"/>
                        <w:r w:rsidRPr="003C17D3">
                          <w:rPr>
                            <w:rFonts w:ascii="Verdana" w:eastAsia="Times New Roman" w:hAnsi="Verdana" w:cs="Arial"/>
                            <w:b/>
                            <w:bCs/>
                            <w:sz w:val="18"/>
                            <w:szCs w:val="18"/>
                          </w:rPr>
                          <w:t xml:space="preserve"> has withheld the entire transportation charges &amp; commission amount of approx. Rs. 27.00 </w:t>
                        </w:r>
                        <w:proofErr w:type="spellStart"/>
                        <w:r w:rsidRPr="003C17D3">
                          <w:rPr>
                            <w:rFonts w:ascii="Verdana" w:eastAsia="Times New Roman" w:hAnsi="Verdana" w:cs="Arial"/>
                            <w:b/>
                            <w:bCs/>
                            <w:sz w:val="18"/>
                            <w:szCs w:val="18"/>
                          </w:rPr>
                          <w:t>crores</w:t>
                        </w:r>
                        <w:proofErr w:type="spellEnd"/>
                        <w:r w:rsidRPr="003C17D3">
                          <w:rPr>
                            <w:rFonts w:ascii="Verdana" w:eastAsia="Times New Roman" w:hAnsi="Verdana" w:cs="Arial"/>
                            <w:b/>
                            <w:bCs/>
                            <w:sz w:val="18"/>
                            <w:szCs w:val="18"/>
                          </w:rPr>
                          <w:t xml:space="preserve">, against the reimbursement proposals of the years 2010-11 &amp; 2011-12. The Central Government vide letters dated 3rd August, 2012 and 14th August, 2012 has advised FCI to continue to make payment of transportation charges against the reimbursement proposals for the years 2010-11 &amp; 2011-12 to the Government of Rajasthan on the basis of the last fixed rate, </w:t>
                        </w:r>
                        <w:r w:rsidRPr="003C17D3">
                          <w:rPr>
                            <w:rFonts w:ascii="Verdana" w:eastAsia="Times New Roman" w:hAnsi="Verdana" w:cs="Arial"/>
                            <w:b/>
                            <w:bCs/>
                            <w:sz w:val="18"/>
                            <w:szCs w:val="18"/>
                          </w:rPr>
                          <w:lastRenderedPageBreak/>
                          <w:t>till the margins for these years are finalized.</w:t>
                        </w:r>
                      </w:p>
                    </w:tc>
                  </w:tr>
                </w:tbl>
                <w:p w:rsidR="008A193B" w:rsidRPr="003C17D3" w:rsidRDefault="008A193B" w:rsidP="00EF0943">
                  <w:pPr>
                    <w:spacing w:after="0" w:line="240" w:lineRule="auto"/>
                    <w:rPr>
                      <w:rFonts w:ascii="Arial" w:eastAsia="Times New Roman" w:hAnsi="Arial" w:cs="Arial"/>
                      <w:sz w:val="18"/>
                      <w:szCs w:val="18"/>
                    </w:rPr>
                  </w:pPr>
                </w:p>
              </w:tc>
            </w:tr>
          </w:tbl>
          <w:p w:rsidR="008A193B" w:rsidRPr="003C17D3" w:rsidRDefault="008A193B" w:rsidP="00EF0943">
            <w:pPr>
              <w:spacing w:after="0" w:line="240" w:lineRule="auto"/>
              <w:rPr>
                <w:rFonts w:ascii="Arial" w:eastAsia="Times New Roman" w:hAnsi="Arial" w:cs="Arial"/>
                <w:sz w:val="18"/>
                <w:szCs w:val="18"/>
              </w:rPr>
            </w:pPr>
          </w:p>
        </w:tc>
      </w:tr>
    </w:tbl>
    <w:p w:rsidR="005B78DA" w:rsidRDefault="005B78DA"/>
    <w:sectPr w:rsidR="005B78DA" w:rsidSect="005B7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93B"/>
    <w:rsid w:val="005B78DA"/>
    <w:rsid w:val="008A1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dc:creator>
  <cp:keywords/>
  <dc:description/>
  <cp:lastModifiedBy>PARSHWATI</cp:lastModifiedBy>
  <cp:revision>1</cp:revision>
  <dcterms:created xsi:type="dcterms:W3CDTF">2012-08-24T10:28:00Z</dcterms:created>
  <dcterms:modified xsi:type="dcterms:W3CDTF">2012-08-24T10:28:00Z</dcterms:modified>
</cp:coreProperties>
</file>